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C29D3" w14:textId="509A3DDF" w:rsidR="00FD3C43" w:rsidRDefault="0043511A" w:rsidP="00FD3C43">
      <w:pPr>
        <w:jc w:val="center"/>
        <w:rPr>
          <w:rFonts w:ascii="Times New Roman" w:hAnsi="Times New Roman"/>
        </w:rPr>
      </w:pPr>
      <w:r w:rsidRPr="00282832">
        <w:rPr>
          <w:rFonts w:ascii="Times New Roman" w:hAnsi="Times New Roman"/>
          <w:lang w:val="en-CA" w:eastAsia="en-CA"/>
        </w:rPr>
        <w:t>Precommitment in stochastic versus deterministic social dilemmas</w:t>
      </w:r>
      <w:r w:rsidDel="00B67F2B">
        <w:rPr>
          <w:rFonts w:ascii="Times New Roman" w:hAnsi="Times New Roman"/>
        </w:rPr>
        <w:t xml:space="preserve"> </w:t>
      </w:r>
    </w:p>
    <w:p w14:paraId="582D75D8" w14:textId="77777777" w:rsidR="00FD3C43" w:rsidRDefault="00FD3C43" w:rsidP="00FD3C43">
      <w:pPr>
        <w:spacing w:line="480" w:lineRule="auto"/>
        <w:rPr>
          <w:rFonts w:ascii="Times New Roman" w:hAnsi="Times New Roman"/>
        </w:rPr>
      </w:pPr>
    </w:p>
    <w:p w14:paraId="630EB26A" w14:textId="77777777" w:rsidR="00FD3C43" w:rsidRDefault="00FD3C43" w:rsidP="00FD3C43">
      <w:pPr>
        <w:spacing w:line="480" w:lineRule="auto"/>
        <w:rPr>
          <w:rFonts w:ascii="Times New Roman" w:hAnsi="Times New Roman"/>
        </w:rPr>
      </w:pPr>
    </w:p>
    <w:p w14:paraId="45DF6945" w14:textId="6374F6A9" w:rsidR="00FD3C43" w:rsidRDefault="004945DB" w:rsidP="004945DB">
      <w:pPr>
        <w:spacing w:line="480" w:lineRule="auto"/>
        <w:rPr>
          <w:rFonts w:ascii="Times New Roman" w:hAnsi="Times New Roman"/>
        </w:rPr>
      </w:pPr>
      <w:r>
        <w:rPr>
          <w:rFonts w:ascii="Times New Roman" w:hAnsi="Times New Roman"/>
        </w:rPr>
        <w:t xml:space="preserve">Authors: </w:t>
      </w:r>
      <w:r w:rsidR="00FD3C43">
        <w:rPr>
          <w:rFonts w:ascii="Times New Roman" w:hAnsi="Times New Roman"/>
        </w:rPr>
        <w:t xml:space="preserve">David J. </w:t>
      </w:r>
      <w:r w:rsidR="00FD3C43">
        <w:rPr>
          <w:rFonts w:ascii="Times New Roman" w:hAnsi="Times New Roman"/>
          <w:noProof/>
        </w:rPr>
        <w:t>Hardisty</w:t>
      </w:r>
      <w:r w:rsidR="00FD3C43">
        <w:rPr>
          <w:rFonts w:ascii="Times New Roman" w:hAnsi="Times New Roman"/>
          <w:noProof/>
          <w:vertAlign w:val="superscript"/>
        </w:rPr>
        <w:t>a</w:t>
      </w:r>
      <w:r w:rsidR="00FD3C43">
        <w:rPr>
          <w:rFonts w:ascii="Times New Roman" w:hAnsi="Times New Roman"/>
        </w:rPr>
        <w:t>, Amir Sepehri</w:t>
      </w:r>
      <w:r w:rsidR="00FD3C43">
        <w:rPr>
          <w:rFonts w:ascii="Times New Roman" w:hAnsi="Times New Roman"/>
          <w:vertAlign w:val="superscript"/>
        </w:rPr>
        <w:t>b</w:t>
      </w:r>
      <w:r w:rsidR="00FD3C43">
        <w:rPr>
          <w:rFonts w:ascii="Times New Roman" w:hAnsi="Times New Roman"/>
        </w:rPr>
        <w:t>, Howard Kunreuther</w:t>
      </w:r>
      <w:r w:rsidR="00FD3C43">
        <w:rPr>
          <w:rFonts w:ascii="Times New Roman" w:hAnsi="Times New Roman"/>
          <w:vertAlign w:val="superscript"/>
        </w:rPr>
        <w:t>c</w:t>
      </w:r>
      <w:r w:rsidR="00FD3C43">
        <w:rPr>
          <w:rFonts w:ascii="Times New Roman" w:hAnsi="Times New Roman"/>
        </w:rPr>
        <w:t xml:space="preserve">, David H. </w:t>
      </w:r>
      <w:r w:rsidR="00FD3C43">
        <w:rPr>
          <w:rFonts w:ascii="Times New Roman" w:hAnsi="Times New Roman"/>
          <w:noProof/>
        </w:rPr>
        <w:t>Krantz</w:t>
      </w:r>
      <w:r w:rsidR="00FD3C43">
        <w:rPr>
          <w:rFonts w:ascii="Times New Roman" w:hAnsi="Times New Roman"/>
          <w:noProof/>
          <w:vertAlign w:val="superscript"/>
        </w:rPr>
        <w:t>d</w:t>
      </w:r>
      <w:r w:rsidR="00FD3C43">
        <w:rPr>
          <w:rFonts w:ascii="Times New Roman" w:hAnsi="Times New Roman"/>
        </w:rPr>
        <w:t xml:space="preserve">, and Poonam </w:t>
      </w:r>
      <w:r w:rsidR="00FD3C43">
        <w:rPr>
          <w:rFonts w:ascii="Times New Roman" w:hAnsi="Times New Roman"/>
          <w:noProof/>
        </w:rPr>
        <w:t>Arora</w:t>
      </w:r>
      <w:r w:rsidR="00FD3C43">
        <w:rPr>
          <w:rFonts w:ascii="Times New Roman" w:hAnsi="Times New Roman"/>
          <w:noProof/>
          <w:vertAlign w:val="superscript"/>
        </w:rPr>
        <w:t>e</w:t>
      </w:r>
      <w:r w:rsidR="00FD3C43">
        <w:rPr>
          <w:rFonts w:ascii="Times New Roman" w:hAnsi="Times New Roman"/>
        </w:rPr>
        <w:t xml:space="preserve"> </w:t>
      </w:r>
    </w:p>
    <w:p w14:paraId="26D650F6" w14:textId="77777777" w:rsidR="00FD3C43" w:rsidRDefault="00FD3C43" w:rsidP="00FD3C43">
      <w:pPr>
        <w:spacing w:line="480" w:lineRule="auto"/>
        <w:ind w:left="720" w:hanging="720"/>
        <w:rPr>
          <w:rFonts w:ascii="Times New Roman" w:hAnsi="Times New Roman"/>
        </w:rPr>
      </w:pPr>
      <w:proofErr w:type="spellStart"/>
      <w:r>
        <w:rPr>
          <w:rFonts w:ascii="Times New Roman" w:hAnsi="Times New Roman"/>
          <w:vertAlign w:val="superscript"/>
        </w:rPr>
        <w:t>a</w:t>
      </w:r>
      <w:r>
        <w:rPr>
          <w:rFonts w:ascii="Times New Roman" w:hAnsi="Times New Roman"/>
        </w:rPr>
        <w:t>University</w:t>
      </w:r>
      <w:proofErr w:type="spellEnd"/>
      <w:r>
        <w:rPr>
          <w:rFonts w:ascii="Times New Roman" w:hAnsi="Times New Roman"/>
        </w:rPr>
        <w:t xml:space="preserve"> of British Columbia, Sauder School of Business, Canada, david.hardisty@sauder.ubc.ca</w:t>
      </w:r>
    </w:p>
    <w:p w14:paraId="06ECBF7E" w14:textId="77777777" w:rsidR="00FD3C43" w:rsidRDefault="00FD3C43" w:rsidP="00FD3C43">
      <w:pPr>
        <w:spacing w:line="480" w:lineRule="auto"/>
        <w:ind w:left="720" w:hanging="720"/>
        <w:rPr>
          <w:rFonts w:ascii="Times New Roman" w:hAnsi="Times New Roman"/>
        </w:rPr>
      </w:pPr>
      <w:proofErr w:type="spellStart"/>
      <w:r>
        <w:rPr>
          <w:rFonts w:ascii="Times New Roman" w:hAnsi="Times New Roman"/>
          <w:vertAlign w:val="superscript"/>
        </w:rPr>
        <w:t>b</w:t>
      </w:r>
      <w:r>
        <w:rPr>
          <w:rFonts w:ascii="Times New Roman" w:hAnsi="Times New Roman"/>
        </w:rPr>
        <w:t>Essec</w:t>
      </w:r>
      <w:proofErr w:type="spellEnd"/>
      <w:r>
        <w:rPr>
          <w:rFonts w:ascii="Times New Roman" w:hAnsi="Times New Roman"/>
        </w:rPr>
        <w:t xml:space="preserve"> Business School, France, Sepehri@essec.edu</w:t>
      </w:r>
    </w:p>
    <w:p w14:paraId="437AFB3F" w14:textId="77777777" w:rsidR="00FD3C43" w:rsidRDefault="00FD3C43" w:rsidP="00FD3C43">
      <w:pPr>
        <w:spacing w:line="480" w:lineRule="auto"/>
        <w:ind w:left="720" w:hanging="720"/>
        <w:rPr>
          <w:rFonts w:ascii="Times New Roman" w:hAnsi="Times New Roman"/>
        </w:rPr>
      </w:pPr>
      <w:proofErr w:type="spellStart"/>
      <w:r>
        <w:rPr>
          <w:rFonts w:ascii="Times New Roman" w:hAnsi="Times New Roman"/>
          <w:vertAlign w:val="superscript"/>
        </w:rPr>
        <w:t>c</w:t>
      </w:r>
      <w:r>
        <w:rPr>
          <w:rFonts w:ascii="Times New Roman" w:hAnsi="Times New Roman"/>
        </w:rPr>
        <w:t>University</w:t>
      </w:r>
      <w:proofErr w:type="spellEnd"/>
      <w:r>
        <w:rPr>
          <w:rFonts w:ascii="Times New Roman" w:hAnsi="Times New Roman"/>
        </w:rPr>
        <w:t xml:space="preserve"> of Pennsylvania, Wharton School of Business, United States, kunreuth@wharton.upenn.edu</w:t>
      </w:r>
    </w:p>
    <w:p w14:paraId="60057BBF" w14:textId="77777777" w:rsidR="00FD3C43" w:rsidRDefault="00FD3C43" w:rsidP="00FD3C43">
      <w:pPr>
        <w:spacing w:line="480" w:lineRule="auto"/>
        <w:ind w:left="720" w:hanging="720"/>
        <w:rPr>
          <w:rFonts w:ascii="Times New Roman" w:hAnsi="Times New Roman"/>
        </w:rPr>
      </w:pPr>
      <w:proofErr w:type="spellStart"/>
      <w:r>
        <w:rPr>
          <w:rFonts w:ascii="Times New Roman" w:hAnsi="Times New Roman"/>
          <w:vertAlign w:val="superscript"/>
        </w:rPr>
        <w:t>d</w:t>
      </w:r>
      <w:r>
        <w:rPr>
          <w:rFonts w:ascii="Times New Roman" w:hAnsi="Times New Roman"/>
        </w:rPr>
        <w:t>Columbia</w:t>
      </w:r>
      <w:proofErr w:type="spellEnd"/>
      <w:r>
        <w:rPr>
          <w:rFonts w:ascii="Times New Roman" w:hAnsi="Times New Roman"/>
        </w:rPr>
        <w:t xml:space="preserve"> University, Department of Psychology, United States, dhk@psych.columbia.edu</w:t>
      </w:r>
    </w:p>
    <w:p w14:paraId="4D6942C0" w14:textId="396B1497" w:rsidR="00FD3C43" w:rsidRDefault="00FD3C43" w:rsidP="00FD3C43">
      <w:pPr>
        <w:spacing w:line="480" w:lineRule="auto"/>
        <w:ind w:left="720" w:hanging="720"/>
        <w:rPr>
          <w:rFonts w:ascii="Times New Roman" w:hAnsi="Times New Roman"/>
        </w:rPr>
      </w:pPr>
      <w:proofErr w:type="spellStart"/>
      <w:r>
        <w:rPr>
          <w:rFonts w:ascii="Times New Roman" w:hAnsi="Times New Roman"/>
          <w:vertAlign w:val="superscript"/>
        </w:rPr>
        <w:t>e</w:t>
      </w:r>
      <w:r>
        <w:rPr>
          <w:rFonts w:ascii="Times New Roman" w:hAnsi="Times New Roman"/>
        </w:rPr>
        <w:t>Quinnipiac</w:t>
      </w:r>
      <w:proofErr w:type="spellEnd"/>
      <w:r>
        <w:rPr>
          <w:rFonts w:ascii="Times New Roman" w:hAnsi="Times New Roman"/>
        </w:rPr>
        <w:t xml:space="preserve"> University, </w:t>
      </w:r>
      <w:r w:rsidR="00A31B35">
        <w:rPr>
          <w:rFonts w:ascii="Times New Roman" w:hAnsi="Times New Roman"/>
        </w:rPr>
        <w:t xml:space="preserve">School of Business, </w:t>
      </w:r>
      <w:r>
        <w:rPr>
          <w:rFonts w:ascii="Times New Roman" w:hAnsi="Times New Roman"/>
        </w:rPr>
        <w:t>United States, Poonam.Arora@quinnipiac.edu</w:t>
      </w:r>
    </w:p>
    <w:p w14:paraId="5A329CF6" w14:textId="77777777" w:rsidR="00FD3C43" w:rsidRDefault="00FD3C43" w:rsidP="00FD3C43">
      <w:pPr>
        <w:spacing w:line="480" w:lineRule="auto"/>
        <w:ind w:left="720" w:hanging="720"/>
        <w:rPr>
          <w:rFonts w:ascii="Times New Roman" w:hAnsi="Times New Roman"/>
        </w:rPr>
      </w:pPr>
    </w:p>
    <w:p w14:paraId="7C8DDE0B" w14:textId="77777777" w:rsidR="00D072EC" w:rsidRDefault="00D072EC" w:rsidP="00FD3C43">
      <w:pPr>
        <w:spacing w:line="480" w:lineRule="auto"/>
        <w:ind w:left="720" w:hanging="720"/>
        <w:rPr>
          <w:rFonts w:ascii="Times New Roman" w:hAnsi="Times New Roman"/>
        </w:rPr>
      </w:pPr>
    </w:p>
    <w:p w14:paraId="62BC61B5" w14:textId="1507DDC0" w:rsidR="00FD3C43" w:rsidRDefault="0059734B" w:rsidP="00CE7837">
      <w:pPr>
        <w:spacing w:line="480" w:lineRule="auto"/>
        <w:rPr>
          <w:rFonts w:ascii="Times New Roman" w:hAnsi="Times New Roman"/>
        </w:rPr>
      </w:pPr>
      <w:r>
        <w:rPr>
          <w:rFonts w:ascii="Times New Roman" w:hAnsi="Times New Roman"/>
        </w:rPr>
        <w:t>Author note</w:t>
      </w:r>
      <w:r w:rsidR="00FD3C43">
        <w:rPr>
          <w:rFonts w:ascii="Times New Roman" w:hAnsi="Times New Roman"/>
        </w:rPr>
        <w:t xml:space="preserve">: </w:t>
      </w:r>
      <w:r w:rsidR="004945DB">
        <w:rPr>
          <w:rFonts w:ascii="Times New Roman" w:hAnsi="Times New Roman"/>
        </w:rPr>
        <w:t xml:space="preserve">Please direct correspondence to David J. Hardisty, david.hardisty@sauder.ubc.ca. </w:t>
      </w:r>
      <w:r w:rsidR="00FD3C43">
        <w:rPr>
          <w:rFonts w:ascii="Times New Roman" w:hAnsi="Times New Roman"/>
        </w:rPr>
        <w:t xml:space="preserve">The full stimuli, data (long and short formats), and analysis scripts can be accessed on OSF at </w:t>
      </w:r>
      <w:hyperlink r:id="rId8" w:history="1">
        <w:r w:rsidR="00FD3C43">
          <w:rPr>
            <w:rStyle w:val="Hyperlink"/>
            <w:rFonts w:ascii="Times New Roman" w:hAnsi="Times New Roman"/>
          </w:rPr>
          <w:t>https://osf.io/jfmte/?view_only=825938bb4c7547b195da865986ab919f</w:t>
        </w:r>
      </w:hyperlink>
    </w:p>
    <w:p w14:paraId="021AB11E" w14:textId="77777777" w:rsidR="00CE7837" w:rsidRDefault="00CE7837" w:rsidP="00CE7837">
      <w:pPr>
        <w:spacing w:line="480" w:lineRule="auto"/>
        <w:rPr>
          <w:rFonts w:ascii="Times New Roman" w:hAnsi="Times New Roman"/>
        </w:rPr>
      </w:pPr>
    </w:p>
    <w:p w14:paraId="679017CE" w14:textId="20A8ADA7" w:rsidR="00FD3C43" w:rsidRDefault="00CE7837" w:rsidP="00CE7837">
      <w:pPr>
        <w:spacing w:line="480" w:lineRule="auto"/>
        <w:rPr>
          <w:rFonts w:ascii="Times New Roman" w:hAnsi="Times New Roman"/>
        </w:rPr>
      </w:pPr>
      <w:r>
        <w:rPr>
          <w:rFonts w:ascii="Times New Roman" w:hAnsi="Times New Roman"/>
        </w:rPr>
        <w:t xml:space="preserve">Funding: This research was supported NSF grants SES-0345840 and SES-0820496 and by the Canadian Social Sciences and Humanities Research Council. </w:t>
      </w:r>
      <w:r w:rsidR="00FD3C43">
        <w:rPr>
          <w:rFonts w:ascii="Times New Roman" w:hAnsi="Times New Roman"/>
        </w:rPr>
        <w:br w:type="page"/>
      </w:r>
    </w:p>
    <w:p w14:paraId="4594EFA4" w14:textId="6DD6E159" w:rsidR="00180E21" w:rsidRPr="002208A3" w:rsidRDefault="00180E21" w:rsidP="00180E21">
      <w:pPr>
        <w:spacing w:line="480" w:lineRule="auto"/>
        <w:jc w:val="center"/>
        <w:rPr>
          <w:rFonts w:ascii="Times New Roman" w:hAnsi="Times New Roman"/>
        </w:rPr>
      </w:pPr>
      <w:r w:rsidRPr="002208A3">
        <w:rPr>
          <w:rFonts w:ascii="Times New Roman" w:hAnsi="Times New Roman"/>
        </w:rPr>
        <w:lastRenderedPageBreak/>
        <w:t>Abstract</w:t>
      </w:r>
      <w:r w:rsidR="0048441D" w:rsidRPr="002208A3">
        <w:rPr>
          <w:rFonts w:ascii="Times New Roman" w:hAnsi="Times New Roman"/>
        </w:rPr>
        <w:tab/>
      </w:r>
    </w:p>
    <w:p w14:paraId="7DBA4AE8" w14:textId="03A19C99" w:rsidR="0048441D" w:rsidRDefault="0048441D">
      <w:pPr>
        <w:spacing w:line="480" w:lineRule="auto"/>
        <w:rPr>
          <w:rFonts w:ascii="Times New Roman" w:hAnsi="Times New Roman"/>
        </w:rPr>
      </w:pPr>
      <w:r w:rsidRPr="002208A3">
        <w:rPr>
          <w:rFonts w:ascii="Times New Roman" w:hAnsi="Times New Roman"/>
        </w:rPr>
        <w:t xml:space="preserve">Many real-world social dilemmas require interdependent </w:t>
      </w:r>
      <w:r w:rsidR="001F58C4">
        <w:rPr>
          <w:rFonts w:ascii="Times New Roman" w:hAnsi="Times New Roman"/>
        </w:rPr>
        <w:t>people</w:t>
      </w:r>
      <w:r w:rsidRPr="002208A3">
        <w:rPr>
          <w:rFonts w:ascii="Times New Roman" w:hAnsi="Times New Roman"/>
        </w:rPr>
        <w:t xml:space="preserve"> to </w:t>
      </w:r>
      <w:r w:rsidR="00E13115" w:rsidRPr="002208A3">
        <w:rPr>
          <w:rFonts w:ascii="Times New Roman" w:hAnsi="Times New Roman"/>
        </w:rPr>
        <w:t xml:space="preserve">repeatedly </w:t>
      </w:r>
      <w:r w:rsidRPr="002208A3">
        <w:rPr>
          <w:rFonts w:ascii="Times New Roman" w:hAnsi="Times New Roman"/>
        </w:rPr>
        <w:t xml:space="preserve">protect against a large loss that has a low probability of occurring. Examples include protecting against </w:t>
      </w:r>
      <w:r w:rsidR="0001085C" w:rsidRPr="002208A3">
        <w:rPr>
          <w:rFonts w:ascii="Times New Roman" w:hAnsi="Times New Roman"/>
        </w:rPr>
        <w:t>disease outbreak (e</w:t>
      </w:r>
      <w:r w:rsidR="003E572D">
        <w:rPr>
          <w:rFonts w:ascii="Times New Roman" w:hAnsi="Times New Roman"/>
        </w:rPr>
        <w:t>.</w:t>
      </w:r>
      <w:r w:rsidR="0001085C" w:rsidRPr="002208A3">
        <w:rPr>
          <w:rFonts w:ascii="Times New Roman" w:hAnsi="Times New Roman"/>
        </w:rPr>
        <w:t>g</w:t>
      </w:r>
      <w:r w:rsidR="003E572D">
        <w:rPr>
          <w:rFonts w:ascii="Times New Roman" w:hAnsi="Times New Roman"/>
        </w:rPr>
        <w:t>.</w:t>
      </w:r>
      <w:r w:rsidR="0001085C" w:rsidRPr="002208A3">
        <w:rPr>
          <w:rFonts w:ascii="Times New Roman" w:hAnsi="Times New Roman"/>
        </w:rPr>
        <w:t xml:space="preserve">, </w:t>
      </w:r>
      <w:r w:rsidR="0001085C">
        <w:rPr>
          <w:rFonts w:ascii="Times New Roman" w:hAnsi="Times New Roman"/>
        </w:rPr>
        <w:t>COVID-19</w:t>
      </w:r>
      <w:r w:rsidR="0001085C" w:rsidRPr="002208A3">
        <w:rPr>
          <w:rFonts w:ascii="Times New Roman" w:hAnsi="Times New Roman"/>
        </w:rPr>
        <w:t xml:space="preserve">), </w:t>
      </w:r>
      <w:r w:rsidRPr="002208A3">
        <w:rPr>
          <w:rFonts w:ascii="Times New Roman" w:hAnsi="Times New Roman"/>
        </w:rPr>
        <w:t xml:space="preserve">terrorism (shared border security), or </w:t>
      </w:r>
      <w:r w:rsidR="00B8681D">
        <w:rPr>
          <w:rFonts w:ascii="Times New Roman" w:hAnsi="Times New Roman"/>
        </w:rPr>
        <w:t xml:space="preserve">extreme weather events (from </w:t>
      </w:r>
      <w:r w:rsidRPr="002208A3">
        <w:rPr>
          <w:rFonts w:ascii="Times New Roman" w:hAnsi="Times New Roman"/>
        </w:rPr>
        <w:t>climate change</w:t>
      </w:r>
      <w:r w:rsidR="00B8681D">
        <w:rPr>
          <w:rFonts w:ascii="Times New Roman" w:hAnsi="Times New Roman"/>
        </w:rPr>
        <w:t>)</w:t>
      </w:r>
      <w:r w:rsidRPr="002208A3">
        <w:rPr>
          <w:rFonts w:ascii="Times New Roman" w:hAnsi="Times New Roman"/>
        </w:rPr>
        <w:t xml:space="preserve">. Decisions on whether to invest in protection may be made </w:t>
      </w:r>
      <w:r w:rsidR="0064510F">
        <w:rPr>
          <w:rFonts w:ascii="Times New Roman" w:hAnsi="Times New Roman"/>
        </w:rPr>
        <w:t xml:space="preserve">period by period (e.g., </w:t>
      </w:r>
      <w:r w:rsidR="00202EFA">
        <w:rPr>
          <w:rFonts w:ascii="Times New Roman" w:hAnsi="Times New Roman"/>
        </w:rPr>
        <w:t>month</w:t>
      </w:r>
      <w:r w:rsidR="00202EFA" w:rsidRPr="002208A3">
        <w:rPr>
          <w:rFonts w:ascii="Times New Roman" w:hAnsi="Times New Roman"/>
        </w:rPr>
        <w:t xml:space="preserve"> </w:t>
      </w:r>
      <w:r w:rsidRPr="002208A3">
        <w:rPr>
          <w:rFonts w:ascii="Times New Roman" w:hAnsi="Times New Roman"/>
        </w:rPr>
        <w:t xml:space="preserve">by </w:t>
      </w:r>
      <w:r w:rsidR="00202EFA">
        <w:rPr>
          <w:rFonts w:ascii="Times New Roman" w:hAnsi="Times New Roman"/>
        </w:rPr>
        <w:t>month</w:t>
      </w:r>
      <w:r w:rsidR="0064510F">
        <w:rPr>
          <w:rFonts w:ascii="Times New Roman" w:hAnsi="Times New Roman"/>
        </w:rPr>
        <w:t>)</w:t>
      </w:r>
      <w:r w:rsidRPr="002208A3">
        <w:rPr>
          <w:rFonts w:ascii="Times New Roman" w:hAnsi="Times New Roman"/>
        </w:rPr>
        <w:t xml:space="preserve">, or investment may be </w:t>
      </w:r>
      <w:r w:rsidRPr="00D26725">
        <w:rPr>
          <w:rFonts w:ascii="Times New Roman" w:hAnsi="Times New Roman"/>
          <w:noProof/>
        </w:rPr>
        <w:t>precommitted</w:t>
      </w:r>
      <w:r w:rsidRPr="002208A3">
        <w:rPr>
          <w:rFonts w:ascii="Times New Roman" w:hAnsi="Times New Roman"/>
        </w:rPr>
        <w:t xml:space="preserve"> </w:t>
      </w:r>
      <w:r w:rsidR="003E572D">
        <w:rPr>
          <w:rFonts w:ascii="Times New Roman" w:hAnsi="Times New Roman"/>
        </w:rPr>
        <w:t xml:space="preserve">in advance </w:t>
      </w:r>
      <w:r w:rsidRPr="002208A3">
        <w:rPr>
          <w:rFonts w:ascii="Times New Roman" w:hAnsi="Times New Roman"/>
        </w:rPr>
        <w:t xml:space="preserve">for a number of </w:t>
      </w:r>
      <w:r w:rsidR="0064510F">
        <w:rPr>
          <w:rFonts w:ascii="Times New Roman" w:hAnsi="Times New Roman"/>
        </w:rPr>
        <w:t>periods</w:t>
      </w:r>
      <w:r w:rsidRPr="002208A3">
        <w:rPr>
          <w:rFonts w:ascii="Times New Roman" w:hAnsi="Times New Roman"/>
        </w:rPr>
        <w:t xml:space="preserve">. </w:t>
      </w:r>
      <w:r w:rsidR="0001085C">
        <w:rPr>
          <w:rFonts w:ascii="Times New Roman" w:hAnsi="Times New Roman"/>
        </w:rPr>
        <w:t xml:space="preserve">How does </w:t>
      </w:r>
      <w:r w:rsidR="00BF2691">
        <w:rPr>
          <w:rFonts w:ascii="Times New Roman" w:hAnsi="Times New Roman"/>
        </w:rPr>
        <w:t>precommitment</w:t>
      </w:r>
      <w:r w:rsidR="0001085C">
        <w:rPr>
          <w:rFonts w:ascii="Times New Roman" w:hAnsi="Times New Roman"/>
        </w:rPr>
        <w:t xml:space="preserve"> influence </w:t>
      </w:r>
      <w:r w:rsidR="00BF2691">
        <w:rPr>
          <w:rFonts w:ascii="Times New Roman" w:hAnsi="Times New Roman"/>
        </w:rPr>
        <w:t>cooperation</w:t>
      </w:r>
      <w:r w:rsidR="007071BF">
        <w:rPr>
          <w:rFonts w:ascii="Times New Roman" w:hAnsi="Times New Roman"/>
        </w:rPr>
        <w:t xml:space="preserve"> in these situations</w:t>
      </w:r>
      <w:r w:rsidR="0001085C">
        <w:rPr>
          <w:rFonts w:ascii="Times New Roman" w:hAnsi="Times New Roman"/>
        </w:rPr>
        <w:t>?</w:t>
      </w:r>
      <w:r w:rsidRPr="002208A3">
        <w:rPr>
          <w:rFonts w:ascii="Times New Roman" w:hAnsi="Times New Roman"/>
        </w:rPr>
        <w:t xml:space="preserve"> </w:t>
      </w:r>
      <w:r w:rsidR="0001085C">
        <w:rPr>
          <w:rFonts w:ascii="Times New Roman" w:hAnsi="Times New Roman"/>
        </w:rPr>
        <w:t xml:space="preserve">A series of four studies </w:t>
      </w:r>
      <w:r w:rsidR="008974B1">
        <w:rPr>
          <w:rFonts w:ascii="Times New Roman" w:hAnsi="Times New Roman"/>
        </w:rPr>
        <w:t xml:space="preserve">(plus one supplemental study) </w:t>
      </w:r>
      <w:r w:rsidR="007F6A62">
        <w:rPr>
          <w:rFonts w:ascii="Times New Roman" w:hAnsi="Times New Roman"/>
        </w:rPr>
        <w:t>investigate</w:t>
      </w:r>
      <w:r w:rsidR="0001085C">
        <w:rPr>
          <w:rFonts w:ascii="Times New Roman" w:hAnsi="Times New Roman"/>
        </w:rPr>
        <w:t xml:space="preserve"> this question, using incentive-compatible, repeated</w:t>
      </w:r>
      <w:r w:rsidR="003F3B59">
        <w:rPr>
          <w:rFonts w:ascii="Times New Roman" w:hAnsi="Times New Roman"/>
        </w:rPr>
        <w:t xml:space="preserve"> social dilemmas</w:t>
      </w:r>
      <w:r w:rsidR="00BF2691">
        <w:rPr>
          <w:rFonts w:ascii="Times New Roman" w:hAnsi="Times New Roman"/>
        </w:rPr>
        <w:t xml:space="preserve"> with large-magnitude, low-probability losses</w:t>
      </w:r>
      <w:r w:rsidR="0001085C">
        <w:rPr>
          <w:rFonts w:ascii="Times New Roman" w:hAnsi="Times New Roman"/>
        </w:rPr>
        <w:t xml:space="preserve">. These </w:t>
      </w:r>
      <w:r w:rsidR="00BF2691">
        <w:rPr>
          <w:rFonts w:ascii="Times New Roman" w:hAnsi="Times New Roman"/>
        </w:rPr>
        <w:t xml:space="preserve">studies </w:t>
      </w:r>
      <w:r w:rsidR="00BE2C0D">
        <w:rPr>
          <w:rFonts w:ascii="Times New Roman" w:hAnsi="Times New Roman"/>
        </w:rPr>
        <w:t xml:space="preserve">found </w:t>
      </w:r>
      <w:r w:rsidR="0001085C">
        <w:rPr>
          <w:rFonts w:ascii="Times New Roman" w:hAnsi="Times New Roman"/>
        </w:rPr>
        <w:t xml:space="preserve">that </w:t>
      </w:r>
      <w:r w:rsidR="00BF2691">
        <w:rPr>
          <w:rFonts w:ascii="Times New Roman" w:hAnsi="Times New Roman"/>
        </w:rPr>
        <w:t>in</w:t>
      </w:r>
      <w:r w:rsidR="0001085C">
        <w:rPr>
          <w:rFonts w:ascii="Times New Roman" w:hAnsi="Times New Roman"/>
        </w:rPr>
        <w:t xml:space="preserve"> stochastic social dilemmas, </w:t>
      </w:r>
      <w:r w:rsidR="00F12B92">
        <w:rPr>
          <w:rFonts w:ascii="Times New Roman" w:hAnsi="Times New Roman"/>
        </w:rPr>
        <w:t xml:space="preserve">binding </w:t>
      </w:r>
      <w:r w:rsidR="0001085C">
        <w:rPr>
          <w:rFonts w:ascii="Times New Roman" w:hAnsi="Times New Roman"/>
        </w:rPr>
        <w:t>precommi</w:t>
      </w:r>
      <w:r w:rsidR="00C923C3">
        <w:rPr>
          <w:rFonts w:ascii="Times New Roman" w:hAnsi="Times New Roman"/>
        </w:rPr>
        <w:t>t</w:t>
      </w:r>
      <w:r w:rsidR="0001085C">
        <w:rPr>
          <w:rFonts w:ascii="Times New Roman" w:hAnsi="Times New Roman"/>
        </w:rPr>
        <w:t>ment</w:t>
      </w:r>
      <w:r w:rsidR="00C966A0">
        <w:rPr>
          <w:rFonts w:ascii="Times New Roman" w:hAnsi="Times New Roman"/>
        </w:rPr>
        <w:t xml:space="preserve"> </w:t>
      </w:r>
      <w:r w:rsidR="0001085C">
        <w:rPr>
          <w:rFonts w:ascii="Times New Roman" w:hAnsi="Times New Roman"/>
        </w:rPr>
        <w:t>increase</w:t>
      </w:r>
      <w:r w:rsidR="007F6A62">
        <w:rPr>
          <w:rFonts w:ascii="Times New Roman" w:hAnsi="Times New Roman"/>
        </w:rPr>
        <w:t>s</w:t>
      </w:r>
      <w:r w:rsidR="0001085C">
        <w:rPr>
          <w:rFonts w:ascii="Times New Roman" w:hAnsi="Times New Roman"/>
        </w:rPr>
        <w:t xml:space="preserve"> cooperation, but </w:t>
      </w:r>
      <w:r w:rsidR="00331202">
        <w:rPr>
          <w:rFonts w:ascii="Times New Roman" w:hAnsi="Times New Roman"/>
        </w:rPr>
        <w:t xml:space="preserve">non-binding precommitment has little effect, and </w:t>
      </w:r>
      <w:r w:rsidR="00BF2691">
        <w:rPr>
          <w:rFonts w:ascii="Times New Roman" w:hAnsi="Times New Roman"/>
        </w:rPr>
        <w:t xml:space="preserve">in deterministic social dilemmas, </w:t>
      </w:r>
      <w:r w:rsidR="00F12B92">
        <w:rPr>
          <w:rFonts w:ascii="Times New Roman" w:hAnsi="Times New Roman"/>
        </w:rPr>
        <w:t xml:space="preserve">binding </w:t>
      </w:r>
      <w:r w:rsidR="00BF2691">
        <w:rPr>
          <w:rFonts w:ascii="Times New Roman" w:hAnsi="Times New Roman"/>
        </w:rPr>
        <w:t>precommitment decrease</w:t>
      </w:r>
      <w:r w:rsidR="007F6A62">
        <w:rPr>
          <w:rFonts w:ascii="Times New Roman" w:hAnsi="Times New Roman"/>
        </w:rPr>
        <w:t>s</w:t>
      </w:r>
      <w:r w:rsidR="00BF2691">
        <w:rPr>
          <w:rFonts w:ascii="Times New Roman" w:hAnsi="Times New Roman"/>
        </w:rPr>
        <w:t xml:space="preserve"> cooperation. </w:t>
      </w:r>
      <w:r w:rsidR="008037C8">
        <w:rPr>
          <w:rFonts w:ascii="Times New Roman" w:hAnsi="Times New Roman"/>
        </w:rPr>
        <w:t xml:space="preserve">These patterns were driven by changes in responsiveness to probabilities and interactions with counterparts, with implications for </w:t>
      </w:r>
      <w:r w:rsidR="007E6A68">
        <w:rPr>
          <w:rFonts w:ascii="Times New Roman" w:hAnsi="Times New Roman"/>
        </w:rPr>
        <w:t xml:space="preserve">how to structure real-world dilemmas to increase cooperative investment in protection. </w:t>
      </w:r>
    </w:p>
    <w:p w14:paraId="61074CAC" w14:textId="77777777" w:rsidR="00FD3C43" w:rsidRDefault="00FD3C43" w:rsidP="00432151">
      <w:pPr>
        <w:spacing w:line="480" w:lineRule="auto"/>
        <w:rPr>
          <w:rFonts w:ascii="Times New Roman" w:hAnsi="Times New Roman"/>
        </w:rPr>
      </w:pPr>
    </w:p>
    <w:p w14:paraId="4EA106BF" w14:textId="6A013CB9" w:rsidR="00ED64F9" w:rsidRDefault="00ED64F9" w:rsidP="00432151">
      <w:pPr>
        <w:spacing w:line="480" w:lineRule="auto"/>
        <w:rPr>
          <w:rFonts w:ascii="Times New Roman" w:hAnsi="Times New Roman"/>
        </w:rPr>
      </w:pPr>
      <w:r>
        <w:rPr>
          <w:rFonts w:ascii="Times New Roman" w:hAnsi="Times New Roman"/>
        </w:rPr>
        <w:t xml:space="preserve">Keywords: </w:t>
      </w:r>
      <w:r w:rsidRPr="00ED64F9">
        <w:rPr>
          <w:rFonts w:ascii="Times New Roman" w:hAnsi="Times New Roman"/>
        </w:rPr>
        <w:t xml:space="preserve">social dilemma; </w:t>
      </w:r>
      <w:r w:rsidR="001D1EFA">
        <w:rPr>
          <w:rFonts w:ascii="Times New Roman" w:hAnsi="Times New Roman"/>
        </w:rPr>
        <w:t>risk</w:t>
      </w:r>
      <w:r w:rsidRPr="00ED64F9">
        <w:rPr>
          <w:rFonts w:ascii="Times New Roman" w:hAnsi="Times New Roman"/>
        </w:rPr>
        <w:t>; time; interdependent security; choice bracketing</w:t>
      </w:r>
    </w:p>
    <w:p w14:paraId="1F5FBECB" w14:textId="77777777" w:rsidR="00C23BD1" w:rsidRPr="002208A3" w:rsidRDefault="00C23BD1" w:rsidP="00432151">
      <w:pPr>
        <w:spacing w:line="480" w:lineRule="auto"/>
        <w:rPr>
          <w:rFonts w:ascii="Times New Roman" w:hAnsi="Times New Roman"/>
        </w:rPr>
      </w:pPr>
    </w:p>
    <w:p w14:paraId="6ED89F70" w14:textId="77777777" w:rsidR="00C1694D" w:rsidRPr="002208A3" w:rsidRDefault="00C1694D">
      <w:pPr>
        <w:rPr>
          <w:rFonts w:ascii="Times New Roman" w:hAnsi="Times New Roman"/>
        </w:rPr>
      </w:pPr>
    </w:p>
    <w:p w14:paraId="7C9DAC74" w14:textId="77777777" w:rsidR="00FD3C43" w:rsidRDefault="00FD3C43">
      <w:pPr>
        <w:rPr>
          <w:rFonts w:ascii="Times New Roman" w:hAnsi="Times New Roman"/>
        </w:rPr>
      </w:pPr>
      <w:r>
        <w:rPr>
          <w:rFonts w:ascii="Times New Roman" w:hAnsi="Times New Roman"/>
        </w:rPr>
        <w:br w:type="page"/>
      </w:r>
    </w:p>
    <w:p w14:paraId="597F090F" w14:textId="4C836650" w:rsidR="00362105" w:rsidRDefault="0043511A" w:rsidP="001969E9">
      <w:pPr>
        <w:jc w:val="center"/>
        <w:rPr>
          <w:rFonts w:ascii="Times New Roman" w:hAnsi="Times New Roman"/>
        </w:rPr>
      </w:pPr>
      <w:r w:rsidRPr="00282832">
        <w:rPr>
          <w:rFonts w:ascii="Times New Roman" w:hAnsi="Times New Roman"/>
          <w:lang w:val="en-CA" w:eastAsia="en-CA"/>
        </w:rPr>
        <w:lastRenderedPageBreak/>
        <w:t>Precommitment in stochastic versus deterministic social dilemmas</w:t>
      </w:r>
      <w:r w:rsidDel="0043511A">
        <w:rPr>
          <w:rFonts w:ascii="Times New Roman" w:hAnsi="Times New Roman"/>
        </w:rPr>
        <w:t xml:space="preserve"> </w:t>
      </w:r>
    </w:p>
    <w:p w14:paraId="076980F4" w14:textId="15DA5342" w:rsidR="00AF2B85" w:rsidRPr="002208A3" w:rsidRDefault="00AF2B85" w:rsidP="00AF2B85">
      <w:pPr>
        <w:jc w:val="center"/>
        <w:rPr>
          <w:rFonts w:ascii="Times New Roman" w:hAnsi="Times New Roman"/>
        </w:rPr>
      </w:pPr>
    </w:p>
    <w:p w14:paraId="7584CE74" w14:textId="77777777" w:rsidR="00E95213" w:rsidRPr="002208A3" w:rsidRDefault="00E95213">
      <w:pPr>
        <w:rPr>
          <w:rFonts w:ascii="Times New Roman" w:hAnsi="Times New Roman"/>
        </w:rPr>
      </w:pPr>
    </w:p>
    <w:p w14:paraId="02F132BA" w14:textId="182C994C" w:rsidR="00793C78" w:rsidRPr="002208A3" w:rsidRDefault="00BB2516">
      <w:pPr>
        <w:spacing w:line="480" w:lineRule="auto"/>
        <w:rPr>
          <w:rFonts w:ascii="Times New Roman" w:hAnsi="Times New Roman"/>
        </w:rPr>
      </w:pPr>
      <w:r w:rsidRPr="002208A3">
        <w:rPr>
          <w:rFonts w:ascii="Times New Roman" w:hAnsi="Times New Roman"/>
        </w:rPr>
        <w:tab/>
        <w:t xml:space="preserve">In </w:t>
      </w:r>
      <w:r w:rsidR="00E567E3">
        <w:rPr>
          <w:rFonts w:ascii="Times New Roman" w:hAnsi="Times New Roman"/>
        </w:rPr>
        <w:t>independent security situations, risk-connected actors</w:t>
      </w:r>
      <w:r w:rsidRPr="002208A3">
        <w:rPr>
          <w:rFonts w:ascii="Times New Roman" w:hAnsi="Times New Roman"/>
        </w:rPr>
        <w:t xml:space="preserve"> must decide whether to </w:t>
      </w:r>
      <w:r w:rsidR="00830693" w:rsidRPr="002208A3">
        <w:rPr>
          <w:rFonts w:ascii="Times New Roman" w:hAnsi="Times New Roman"/>
        </w:rPr>
        <w:t>invest in</w:t>
      </w:r>
      <w:r w:rsidRPr="002208A3">
        <w:rPr>
          <w:rFonts w:ascii="Times New Roman" w:hAnsi="Times New Roman"/>
        </w:rPr>
        <w:t xml:space="preserve"> preventive measures against </w:t>
      </w:r>
      <w:r w:rsidR="008D0D25">
        <w:rPr>
          <w:rFonts w:ascii="Times New Roman" w:hAnsi="Times New Roman"/>
        </w:rPr>
        <w:t xml:space="preserve">the chance of </w:t>
      </w:r>
      <w:r w:rsidRPr="002208A3">
        <w:rPr>
          <w:rFonts w:ascii="Times New Roman" w:hAnsi="Times New Roman"/>
        </w:rPr>
        <w:t>catastrophic loss</w:t>
      </w:r>
      <w:r w:rsidR="00E567E3">
        <w:rPr>
          <w:rFonts w:ascii="Times New Roman" w:hAnsi="Times New Roman"/>
        </w:rPr>
        <w:t>, affecting both their individual risk and the spillover risk to others</w:t>
      </w:r>
      <w:r w:rsidRPr="002208A3">
        <w:rPr>
          <w:rFonts w:ascii="Times New Roman" w:hAnsi="Times New Roman"/>
        </w:rPr>
        <w:t xml:space="preserve">. </w:t>
      </w:r>
      <w:r w:rsidR="00BF2691">
        <w:rPr>
          <w:rFonts w:ascii="Times New Roman" w:hAnsi="Times New Roman"/>
        </w:rPr>
        <w:t xml:space="preserve">For example, people facing </w:t>
      </w:r>
      <w:r w:rsidR="008D0D25">
        <w:rPr>
          <w:rFonts w:ascii="Times New Roman" w:hAnsi="Times New Roman"/>
        </w:rPr>
        <w:t xml:space="preserve">a contagious disease outbreak (such as measles or </w:t>
      </w:r>
      <w:r w:rsidR="00BF2691">
        <w:rPr>
          <w:rFonts w:ascii="Times New Roman" w:hAnsi="Times New Roman"/>
        </w:rPr>
        <w:t>COVID-19</w:t>
      </w:r>
      <w:r w:rsidR="008D0D25">
        <w:rPr>
          <w:rFonts w:ascii="Times New Roman" w:hAnsi="Times New Roman"/>
        </w:rPr>
        <w:t>)</w:t>
      </w:r>
      <w:r w:rsidR="00BF2691">
        <w:rPr>
          <w:rFonts w:ascii="Times New Roman" w:hAnsi="Times New Roman"/>
        </w:rPr>
        <w:t xml:space="preserve"> must decide whether </w:t>
      </w:r>
      <w:r w:rsidR="00BF3006">
        <w:rPr>
          <w:rFonts w:ascii="Times New Roman" w:hAnsi="Times New Roman"/>
        </w:rPr>
        <w:t xml:space="preserve">reduce </w:t>
      </w:r>
      <w:r w:rsidR="008D0D25">
        <w:rPr>
          <w:rFonts w:ascii="Times New Roman" w:hAnsi="Times New Roman"/>
        </w:rPr>
        <w:t xml:space="preserve">their </w:t>
      </w:r>
      <w:r w:rsidR="00BF3006">
        <w:rPr>
          <w:rFonts w:ascii="Times New Roman" w:hAnsi="Times New Roman"/>
        </w:rPr>
        <w:t>risk by engaging</w:t>
      </w:r>
      <w:r w:rsidR="00BF2691">
        <w:rPr>
          <w:rFonts w:ascii="Times New Roman" w:hAnsi="Times New Roman"/>
        </w:rPr>
        <w:t xml:space="preserve"> in preventative measures such as</w:t>
      </w:r>
      <w:r w:rsidR="000C16B5">
        <w:rPr>
          <w:rFonts w:ascii="Times New Roman" w:hAnsi="Times New Roman"/>
        </w:rPr>
        <w:t xml:space="preserve"> </w:t>
      </w:r>
      <w:r w:rsidR="00BF3006">
        <w:rPr>
          <w:rFonts w:ascii="Times New Roman" w:hAnsi="Times New Roman"/>
        </w:rPr>
        <w:t xml:space="preserve">vaccination </w:t>
      </w:r>
      <w:r w:rsidR="00BF3006">
        <w:rPr>
          <w:rFonts w:ascii="Times New Roman" w:hAnsi="Times New Roman"/>
        </w:rPr>
        <w:fldChar w:fldCharType="begin" w:fldLock="1"/>
      </w:r>
      <w:r w:rsidR="005B1C17">
        <w:rPr>
          <w:rFonts w:ascii="Times New Roman" w:hAnsi="Times New Roman"/>
        </w:rPr>
        <w:instrText>ADDIN CSL_CITATION {"citationItems":[{"id":"ITEM-1","itemData":{"ISSN":"1948-5506","author":[{"dropping-particle":"","family":"Trueblood","given":"Jennifer S","non-dropping-particle":"","parse-names":false,"suffix":""},{"dropping-particle":"","family":"Sussman","given":"Abigail B","non-dropping-particle":"","parse-names":false,"suffix":""},{"dropping-particle":"","family":"O’Leary","given":"Daniel","non-dropping-particle":"","parse-names":false,"suffix":""}],"container-title":"Social Psychological and Personality Science","id":"ITEM-1","issue":"1","issued":{"date-parts":[["2022"]]},"page":"311-319","publisher":"SAGE Publications Sage CA: Los Angeles, CA","title":"The role of risk preferences in responses to messaging about COVID-19 vaccine take-up","type":"article-journal","volume":"13"},"uris":["http://www.mendeley.com/documents/?uuid=c680df8b-6f42-49af-a339-d3384590f8d1"]}],"mendeley":{"formattedCitation":"(Trueblood et al., 2022)","plainTextFormattedCitation":"(Trueblood et al., 2022)","previouslyFormattedCitation":"(Trueblood et al. 2022)"},"properties":{"noteIndex":0},"schema":"https://github.com/citation-style-language/schema/raw/master/csl-citation.json"}</w:instrText>
      </w:r>
      <w:r w:rsidR="00BF3006">
        <w:rPr>
          <w:rFonts w:ascii="Times New Roman" w:hAnsi="Times New Roman"/>
        </w:rPr>
        <w:fldChar w:fldCharType="separate"/>
      </w:r>
      <w:r w:rsidR="005B1C17" w:rsidRPr="005B1C17">
        <w:rPr>
          <w:rFonts w:ascii="Times New Roman" w:hAnsi="Times New Roman"/>
          <w:noProof/>
        </w:rPr>
        <w:t>(Trueblood et al., 2022)</w:t>
      </w:r>
      <w:r w:rsidR="00BF3006">
        <w:rPr>
          <w:rFonts w:ascii="Times New Roman" w:hAnsi="Times New Roman"/>
        </w:rPr>
        <w:fldChar w:fldCharType="end"/>
      </w:r>
      <w:r w:rsidR="00BF2691">
        <w:rPr>
          <w:rFonts w:ascii="Times New Roman" w:hAnsi="Times New Roman"/>
        </w:rPr>
        <w:t xml:space="preserve">. </w:t>
      </w:r>
      <w:r w:rsidR="00E567E3">
        <w:rPr>
          <w:rFonts w:ascii="Times New Roman" w:hAnsi="Times New Roman"/>
        </w:rPr>
        <w:t>T</w:t>
      </w:r>
      <w:r w:rsidR="00E63AA8">
        <w:rPr>
          <w:rFonts w:ascii="Times New Roman" w:hAnsi="Times New Roman"/>
        </w:rPr>
        <w:t xml:space="preserve">he </w:t>
      </w:r>
      <w:r w:rsidR="00820601">
        <w:rPr>
          <w:rFonts w:ascii="Times New Roman" w:hAnsi="Times New Roman"/>
        </w:rPr>
        <w:t xml:space="preserve">security of each person depends </w:t>
      </w:r>
      <w:r w:rsidR="008D0D25">
        <w:rPr>
          <w:rFonts w:ascii="Times New Roman" w:hAnsi="Times New Roman"/>
        </w:rPr>
        <w:t>not only on their own choice</w:t>
      </w:r>
      <w:r w:rsidR="00B84EE6">
        <w:rPr>
          <w:rFonts w:ascii="Times New Roman" w:hAnsi="Times New Roman"/>
        </w:rPr>
        <w:t>s</w:t>
      </w:r>
      <w:r w:rsidR="008D0D25">
        <w:rPr>
          <w:rFonts w:ascii="Times New Roman" w:hAnsi="Times New Roman"/>
        </w:rPr>
        <w:t xml:space="preserve">, but also </w:t>
      </w:r>
      <w:r w:rsidR="00820601">
        <w:rPr>
          <w:rFonts w:ascii="Times New Roman" w:hAnsi="Times New Roman"/>
        </w:rPr>
        <w:t xml:space="preserve">on </w:t>
      </w:r>
      <w:r w:rsidR="008D0D25">
        <w:rPr>
          <w:rFonts w:ascii="Times New Roman" w:hAnsi="Times New Roman"/>
        </w:rPr>
        <w:t xml:space="preserve">the choices of </w:t>
      </w:r>
      <w:r w:rsidR="00820601">
        <w:rPr>
          <w:rFonts w:ascii="Times New Roman" w:hAnsi="Times New Roman"/>
        </w:rPr>
        <w:t>their neighbor</w:t>
      </w:r>
      <w:r w:rsidR="00694FDD">
        <w:rPr>
          <w:rFonts w:ascii="Times New Roman" w:hAnsi="Times New Roman"/>
        </w:rPr>
        <w:t>s</w:t>
      </w:r>
      <w:r w:rsidR="00820601">
        <w:rPr>
          <w:rFonts w:ascii="Times New Roman" w:hAnsi="Times New Roman"/>
        </w:rPr>
        <w:t xml:space="preserve">. </w:t>
      </w:r>
      <w:r w:rsidR="00BF2691">
        <w:rPr>
          <w:rFonts w:ascii="Times New Roman" w:hAnsi="Times New Roman"/>
        </w:rPr>
        <w:t>If one person does not take preventative measures</w:t>
      </w:r>
      <w:r w:rsidR="00E567E3">
        <w:rPr>
          <w:rFonts w:ascii="Times New Roman" w:hAnsi="Times New Roman"/>
        </w:rPr>
        <w:t xml:space="preserve"> (e.g., skipping a measles vaccination)</w:t>
      </w:r>
      <w:r w:rsidR="00BF2691">
        <w:rPr>
          <w:rFonts w:ascii="Times New Roman" w:hAnsi="Times New Roman"/>
        </w:rPr>
        <w:t xml:space="preserve">, it </w:t>
      </w:r>
      <w:r w:rsidR="00B84EE6">
        <w:rPr>
          <w:rFonts w:ascii="Times New Roman" w:hAnsi="Times New Roman"/>
        </w:rPr>
        <w:t>increases the risk for others</w:t>
      </w:r>
      <w:r w:rsidR="00E567E3">
        <w:rPr>
          <w:rFonts w:ascii="Times New Roman" w:hAnsi="Times New Roman"/>
        </w:rPr>
        <w:t xml:space="preserve"> (e.g., </w:t>
      </w:r>
      <w:r w:rsidR="00B84EE6">
        <w:rPr>
          <w:rFonts w:ascii="Times New Roman" w:hAnsi="Times New Roman"/>
        </w:rPr>
        <w:t>they could get</w:t>
      </w:r>
      <w:r w:rsidR="00E567E3">
        <w:rPr>
          <w:rFonts w:ascii="Times New Roman" w:hAnsi="Times New Roman"/>
        </w:rPr>
        <w:t xml:space="preserve"> infected and spread </w:t>
      </w:r>
      <w:r w:rsidR="00B84EE6">
        <w:rPr>
          <w:rFonts w:ascii="Times New Roman" w:hAnsi="Times New Roman"/>
        </w:rPr>
        <w:t xml:space="preserve">the </w:t>
      </w:r>
      <w:r w:rsidR="00E567E3">
        <w:rPr>
          <w:rFonts w:ascii="Times New Roman" w:hAnsi="Times New Roman"/>
        </w:rPr>
        <w:t>disease)</w:t>
      </w:r>
      <w:r w:rsidR="00BF2691">
        <w:rPr>
          <w:rFonts w:ascii="Times New Roman" w:hAnsi="Times New Roman"/>
        </w:rPr>
        <w:t xml:space="preserve">. </w:t>
      </w:r>
      <w:r w:rsidR="00B84EE6">
        <w:rPr>
          <w:rFonts w:ascii="Times New Roman" w:hAnsi="Times New Roman"/>
        </w:rPr>
        <w:t>In contrast</w:t>
      </w:r>
      <w:r w:rsidR="008D0D25">
        <w:rPr>
          <w:rFonts w:ascii="Times New Roman" w:hAnsi="Times New Roman"/>
        </w:rPr>
        <w:t>, if most people engage in risk prevention</w:t>
      </w:r>
      <w:r w:rsidR="00E567E3">
        <w:rPr>
          <w:rFonts w:ascii="Times New Roman" w:hAnsi="Times New Roman"/>
        </w:rPr>
        <w:t>,</w:t>
      </w:r>
      <w:r w:rsidR="008D0D25">
        <w:rPr>
          <w:rFonts w:ascii="Times New Roman" w:hAnsi="Times New Roman"/>
        </w:rPr>
        <w:t xml:space="preserve"> it provides spillover protective benefits (e.g., heard immunity)</w:t>
      </w:r>
      <w:r w:rsidR="00B84EE6">
        <w:rPr>
          <w:rFonts w:ascii="Times New Roman" w:hAnsi="Times New Roman"/>
        </w:rPr>
        <w:t>,</w:t>
      </w:r>
      <w:r w:rsidR="008D0D25">
        <w:rPr>
          <w:rFonts w:ascii="Times New Roman" w:hAnsi="Times New Roman"/>
        </w:rPr>
        <w:t xml:space="preserve"> even to those individuals who freeride and do not take preventative measures.</w:t>
      </w:r>
      <w:r w:rsidR="00820601">
        <w:rPr>
          <w:rFonts w:ascii="Times New Roman" w:hAnsi="Times New Roman"/>
        </w:rPr>
        <w:t xml:space="preserve"> A second example</w:t>
      </w:r>
      <w:r w:rsidR="00694FDD">
        <w:rPr>
          <w:rFonts w:ascii="Times New Roman" w:hAnsi="Times New Roman"/>
        </w:rPr>
        <w:t xml:space="preserve"> is border security; </w:t>
      </w:r>
      <w:r w:rsidR="00694FDD" w:rsidRPr="00694FDD">
        <w:rPr>
          <w:rFonts w:ascii="Times New Roman" w:hAnsi="Times New Roman"/>
        </w:rPr>
        <w:t>the United States and Canada share a huge undefended border and both must protect against</w:t>
      </w:r>
      <w:r w:rsidR="00694FDD">
        <w:rPr>
          <w:rFonts w:ascii="Times New Roman" w:hAnsi="Times New Roman"/>
        </w:rPr>
        <w:t xml:space="preserve"> illegal smuggling</w:t>
      </w:r>
      <w:r w:rsidR="00E567E3">
        <w:rPr>
          <w:rFonts w:ascii="Times New Roman" w:hAnsi="Times New Roman"/>
        </w:rPr>
        <w:t>, foreign agents,</w:t>
      </w:r>
      <w:r w:rsidR="00511A0D">
        <w:rPr>
          <w:rFonts w:ascii="Times New Roman" w:hAnsi="Times New Roman"/>
        </w:rPr>
        <w:t xml:space="preserve"> and terrorism</w:t>
      </w:r>
      <w:r w:rsidR="00694FDD">
        <w:rPr>
          <w:rFonts w:ascii="Times New Roman" w:hAnsi="Times New Roman"/>
        </w:rPr>
        <w:t xml:space="preserve">. Each country relies on the security investments of the other. </w:t>
      </w:r>
      <w:r w:rsidR="00014B55" w:rsidRPr="002208A3">
        <w:rPr>
          <w:rFonts w:ascii="Times New Roman" w:hAnsi="Times New Roman"/>
        </w:rPr>
        <w:t>A third example of interdependent security has been seen in financial firms, where catastrophic losses in one division may bring down the whole company</w:t>
      </w:r>
      <w:r w:rsidR="00851607">
        <w:rPr>
          <w:rFonts w:ascii="Times New Roman" w:hAnsi="Times New Roman"/>
        </w:rPr>
        <w:t xml:space="preserve"> </w:t>
      </w:r>
      <w:r w:rsidR="00851607">
        <w:rPr>
          <w:rFonts w:ascii="Times New Roman" w:hAnsi="Times New Roman"/>
        </w:rPr>
        <w:fldChar w:fldCharType="begin" w:fldLock="1"/>
      </w:r>
      <w:r w:rsidR="005B1C17">
        <w:rPr>
          <w:rFonts w:ascii="Times New Roman" w:hAnsi="Times New Roman"/>
        </w:rPr>
        <w:instrText>ADDIN CSL_CITATION {"citationItems":[{"id":"ITEM-1","itemData":{"DOI":"DOI: 10.1017/CBO9780511488580.008","ISBN":"9780521609289","abstract":"The World Trade Center terrorist attacks of September 11 raise a set of challenges that organizations face in dealing with low-probability events that have catastrophic consequences. More specifically, there are certain bad events that can occur only once. Death is the clearest example: an individual's death is irreversible and unrepeatable. With respect to firm behaviour, bankruptcy is the obvious analogue. This chapter explores the impact that the possibility of an extreme event, such as bankruptcy, has on the propensity of different parts of an organization to take risks.A key point to emphasize at the outset is that the economic incentive for any division in an organization to invest in risk-reduction measures depends on how it expects the other divisions to behave in this respect. Consider Division 1. If it thinks that the other divisions will not invest in protection, this reduces Division 1's incentive to do so. However, should Division 1 believe that the others are taking appropriate steps to mitigate their risks, it may be best for Division 1 to do so as well. In other words there may be situations where no one invests in protection, even though all divisions would be better off if they had incurred this cost.","author":[{"dropping-particle":"","family":"Kunreuther","given":"Howard","non-dropping-particle":"","parse-names":false,"suffix":""},{"dropping-particle":"","family":"Heal","given":"Geoffrey","non-dropping-particle":"","parse-names":false,"suffix":""}],"container-title":"Organizational Encounters with Risk","editor":[{"dropping-particle":"","family":"Hutter","given":"Bridget","non-dropping-particle":"","parse-names":false,"suffix":""},{"dropping-particle":"","family":"Power","given":"Michael","non-dropping-particle":"","parse-names":false,"suffix":""}],"id":"ITEM-1","issued":{"date-parts":[["2005"]]},"page":"190-208","publisher":"Cambridge University Press","publisher-place":"Cambridge","title":"Interdependencies within an organization","type":"chapter"},"uris":["http://www.mendeley.com/documents/?uuid=826bc867-0afb-4a5e-8052-bba139eed0e7"]}],"mendeley":{"formattedCitation":"(Kunreuther &amp; Heal, 2005)","plainTextFormattedCitation":"(Kunreuther &amp; Heal, 2005)","previouslyFormattedCitation":"(Kunreuther and Heal 2005)"},"properties":{"noteIndex":0},"schema":"https://github.com/citation-style-language/schema/raw/master/csl-citation.json"}</w:instrText>
      </w:r>
      <w:r w:rsidR="00851607">
        <w:rPr>
          <w:rFonts w:ascii="Times New Roman" w:hAnsi="Times New Roman"/>
        </w:rPr>
        <w:fldChar w:fldCharType="separate"/>
      </w:r>
      <w:r w:rsidR="005B1C17" w:rsidRPr="005B1C17">
        <w:rPr>
          <w:rFonts w:ascii="Times New Roman" w:hAnsi="Times New Roman"/>
          <w:noProof/>
        </w:rPr>
        <w:t>(Kunreuther &amp; Heal, 2005)</w:t>
      </w:r>
      <w:r w:rsidR="00851607">
        <w:rPr>
          <w:rFonts w:ascii="Times New Roman" w:hAnsi="Times New Roman"/>
        </w:rPr>
        <w:fldChar w:fldCharType="end"/>
      </w:r>
      <w:r w:rsidR="0040491D">
        <w:rPr>
          <w:rFonts w:ascii="Times New Roman" w:hAnsi="Times New Roman"/>
        </w:rPr>
        <w:t xml:space="preserve">. </w:t>
      </w:r>
    </w:p>
    <w:p w14:paraId="69160771" w14:textId="560B69C7" w:rsidR="00CC49B3" w:rsidRPr="00CC49B3" w:rsidRDefault="007A7DC4" w:rsidP="00CC49B3">
      <w:pPr>
        <w:spacing w:line="480" w:lineRule="auto"/>
        <w:rPr>
          <w:rFonts w:ascii="Times New Roman" w:hAnsi="Times New Roman"/>
        </w:rPr>
      </w:pPr>
      <w:r w:rsidRPr="002208A3">
        <w:rPr>
          <w:rFonts w:ascii="Times New Roman" w:hAnsi="Times New Roman"/>
        </w:rPr>
        <w:tab/>
      </w:r>
      <w:r w:rsidR="00D328C6">
        <w:rPr>
          <w:rFonts w:ascii="Times New Roman" w:hAnsi="Times New Roman"/>
        </w:rPr>
        <w:t>Interdependent security</w:t>
      </w:r>
      <w:r w:rsidR="00B84EE6">
        <w:rPr>
          <w:rFonts w:ascii="Times New Roman" w:hAnsi="Times New Roman"/>
        </w:rPr>
        <w:t xml:space="preserve"> situations such as these are a special type of </w:t>
      </w:r>
      <w:r w:rsidR="00B84EE6" w:rsidRPr="00511D2D">
        <w:rPr>
          <w:rFonts w:ascii="Times New Roman" w:hAnsi="Times New Roman"/>
          <w:i/>
          <w:iCs/>
        </w:rPr>
        <w:t>social dilemma</w:t>
      </w:r>
      <w:r w:rsidR="00B84EE6">
        <w:rPr>
          <w:rFonts w:ascii="Times New Roman" w:hAnsi="Times New Roman"/>
        </w:rPr>
        <w:t xml:space="preserve">. </w:t>
      </w:r>
      <w:r w:rsidR="00BD57B7" w:rsidRPr="009B434A">
        <w:rPr>
          <w:rFonts w:ascii="Times New Roman" w:hAnsi="Times New Roman"/>
        </w:rPr>
        <w:t>I</w:t>
      </w:r>
      <w:r w:rsidR="00922C3E" w:rsidRPr="009B434A">
        <w:rPr>
          <w:rFonts w:ascii="Times New Roman" w:hAnsi="Times New Roman"/>
        </w:rPr>
        <w:t>n social dilemmas</w:t>
      </w:r>
      <w:r w:rsidR="00BD57B7" w:rsidRPr="009B434A">
        <w:rPr>
          <w:rFonts w:ascii="Times New Roman" w:hAnsi="Times New Roman"/>
        </w:rPr>
        <w:t>,</w:t>
      </w:r>
      <w:r w:rsidR="00922C3E" w:rsidRPr="009B434A">
        <w:rPr>
          <w:rFonts w:ascii="Times New Roman" w:hAnsi="Times New Roman"/>
        </w:rPr>
        <w:t xml:space="preserve"> individuals </w:t>
      </w:r>
      <w:r w:rsidR="00BD57B7" w:rsidRPr="009B434A">
        <w:rPr>
          <w:rFonts w:ascii="Times New Roman" w:hAnsi="Times New Roman"/>
        </w:rPr>
        <w:t xml:space="preserve">are incentivized </w:t>
      </w:r>
      <w:r w:rsidR="00922C3E" w:rsidRPr="009B434A">
        <w:rPr>
          <w:rFonts w:ascii="Times New Roman" w:hAnsi="Times New Roman"/>
        </w:rPr>
        <w:t xml:space="preserve">to </w:t>
      </w:r>
      <w:r w:rsidR="00BD57B7" w:rsidRPr="009B434A">
        <w:rPr>
          <w:rFonts w:ascii="Times New Roman" w:hAnsi="Times New Roman"/>
        </w:rPr>
        <w:t xml:space="preserve">put </w:t>
      </w:r>
      <w:r w:rsidR="00922C3E" w:rsidRPr="009B434A">
        <w:rPr>
          <w:rFonts w:ascii="Times New Roman" w:hAnsi="Times New Roman"/>
        </w:rPr>
        <w:t xml:space="preserve">their self-interest </w:t>
      </w:r>
      <w:r w:rsidR="00922C3E" w:rsidRPr="00D26725">
        <w:rPr>
          <w:rFonts w:ascii="Times New Roman" w:hAnsi="Times New Roman"/>
          <w:noProof/>
        </w:rPr>
        <w:t>over</w:t>
      </w:r>
      <w:r w:rsidR="00922C3E" w:rsidRPr="009B434A">
        <w:rPr>
          <w:rFonts w:ascii="Times New Roman" w:hAnsi="Times New Roman"/>
        </w:rPr>
        <w:t xml:space="preserve"> </w:t>
      </w:r>
      <w:r w:rsidR="00BD57B7" w:rsidRPr="009B434A">
        <w:rPr>
          <w:rFonts w:ascii="Times New Roman" w:hAnsi="Times New Roman"/>
        </w:rPr>
        <w:t xml:space="preserve">the </w:t>
      </w:r>
      <w:r w:rsidR="00922C3E" w:rsidRPr="009B434A">
        <w:rPr>
          <w:rFonts w:ascii="Times New Roman" w:hAnsi="Times New Roman"/>
        </w:rPr>
        <w:t>collective benefit and therefore act non-cooperativel</w:t>
      </w:r>
      <w:r w:rsidR="00E8465C">
        <w:rPr>
          <w:rFonts w:ascii="Times New Roman" w:hAnsi="Times New Roman"/>
        </w:rPr>
        <w:t>y in the short-term</w:t>
      </w:r>
      <w:r w:rsidR="00124711">
        <w:rPr>
          <w:rFonts w:ascii="Times New Roman" w:hAnsi="Times New Roman"/>
        </w:rPr>
        <w:t xml:space="preserve"> </w:t>
      </w:r>
      <w:r w:rsidR="00124711">
        <w:rPr>
          <w:rFonts w:ascii="Times New Roman" w:hAnsi="Times New Roman"/>
        </w:rPr>
        <w:fldChar w:fldCharType="begin" w:fldLock="1"/>
      </w:r>
      <w:r w:rsidR="005B1C17">
        <w:rPr>
          <w:rFonts w:ascii="Times New Roman" w:hAnsi="Times New Roman"/>
        </w:rPr>
        <w:instrText>ADDIN CSL_CITATION {"citationItems":[{"id":"ITEM-1","itemData":{"ISSN":"0022-0027","author":[{"dropping-particle":"","family":"Axelrod","given":"Robert","non-dropping-particle":"","parse-names":false,"suffix":""}],"container-title":"Journal of conflict resolution","id":"ITEM-1","issue":"1","issued":{"date-parts":[["1980"]]},"page":"3-25","publisher":"Sage Publications Sage CA: Los Angeles, CA","title":"Effective choice in the prisoner's dilemma","type":"article-journal","volume":"24"},"uris":["http://www.mendeley.com/documents/?uuid=9ac2a894-7571-4fbb-8014-bf8944816d2f"]}],"mendeley":{"formattedCitation":"(Axelrod, 1980)","plainTextFormattedCitation":"(Axelrod, 1980)","previouslyFormattedCitation":"(Axelrod 1980)"},"properties":{"noteIndex":0},"schema":"https://github.com/citation-style-language/schema/raw/master/csl-citation.json"}</w:instrText>
      </w:r>
      <w:r w:rsidR="00124711">
        <w:rPr>
          <w:rFonts w:ascii="Times New Roman" w:hAnsi="Times New Roman"/>
        </w:rPr>
        <w:fldChar w:fldCharType="separate"/>
      </w:r>
      <w:r w:rsidR="005B1C17" w:rsidRPr="005B1C17">
        <w:rPr>
          <w:rFonts w:ascii="Times New Roman" w:hAnsi="Times New Roman"/>
          <w:noProof/>
        </w:rPr>
        <w:t>(Axelrod, 1980)</w:t>
      </w:r>
      <w:r w:rsidR="00124711">
        <w:rPr>
          <w:rFonts w:ascii="Times New Roman" w:hAnsi="Times New Roman"/>
        </w:rPr>
        <w:fldChar w:fldCharType="end"/>
      </w:r>
      <w:r w:rsidR="00922C3E" w:rsidRPr="009B434A">
        <w:rPr>
          <w:rFonts w:ascii="Times New Roman" w:hAnsi="Times New Roman"/>
        </w:rPr>
        <w:t>.</w:t>
      </w:r>
      <w:r w:rsidR="00511A0D">
        <w:rPr>
          <w:rFonts w:ascii="Times New Roman" w:hAnsi="Times New Roman"/>
        </w:rPr>
        <w:t xml:space="preserve"> </w:t>
      </w:r>
      <w:r w:rsidR="005657BD" w:rsidRPr="002208A3">
        <w:rPr>
          <w:rFonts w:ascii="Times New Roman" w:hAnsi="Times New Roman"/>
        </w:rPr>
        <w:t xml:space="preserve">To counteract this, a </w:t>
      </w:r>
      <w:r w:rsidR="00D11E71" w:rsidRPr="002208A3">
        <w:rPr>
          <w:rFonts w:ascii="Times New Roman" w:hAnsi="Times New Roman"/>
        </w:rPr>
        <w:t xml:space="preserve">huge </w:t>
      </w:r>
      <w:r w:rsidR="001953DC" w:rsidRPr="002208A3">
        <w:rPr>
          <w:rFonts w:ascii="Times New Roman" w:hAnsi="Times New Roman"/>
        </w:rPr>
        <w:t xml:space="preserve">literature on social dilemmas </w:t>
      </w:r>
      <w:r w:rsidR="005D4809" w:rsidRPr="002208A3">
        <w:rPr>
          <w:rFonts w:ascii="Times New Roman" w:hAnsi="Times New Roman"/>
        </w:rPr>
        <w:t xml:space="preserve">has documented factors which promote cooperation and, hence, </w:t>
      </w:r>
      <w:r w:rsidR="0027088A">
        <w:rPr>
          <w:rFonts w:ascii="Times New Roman" w:hAnsi="Times New Roman"/>
        </w:rPr>
        <w:t xml:space="preserve">lead to </w:t>
      </w:r>
      <w:r w:rsidR="005D4809" w:rsidRPr="002208A3">
        <w:rPr>
          <w:rFonts w:ascii="Times New Roman" w:hAnsi="Times New Roman"/>
        </w:rPr>
        <w:t>mutual benefit (</w:t>
      </w:r>
      <w:r w:rsidR="005D4809" w:rsidRPr="009B434A">
        <w:rPr>
          <w:rFonts w:ascii="Times New Roman" w:hAnsi="Times New Roman"/>
        </w:rPr>
        <w:t>for a review, see</w:t>
      </w:r>
      <w:r w:rsidR="00851607">
        <w:rPr>
          <w:rFonts w:ascii="Times New Roman" w:hAnsi="Times New Roman"/>
        </w:rPr>
        <w:t xml:space="preserve"> </w:t>
      </w:r>
      <w:r w:rsidR="00851607">
        <w:rPr>
          <w:rFonts w:ascii="Times New Roman" w:hAnsi="Times New Roman"/>
        </w:rPr>
        <w:fldChar w:fldCharType="begin" w:fldLock="1"/>
      </w:r>
      <w:r w:rsidR="005B1C17">
        <w:rPr>
          <w:rFonts w:ascii="Times New Roman" w:hAnsi="Times New Roman"/>
        </w:rPr>
        <w:instrText>ADDIN CSL_CITATION {"citationItems":[{"id":"ITEM-1","itemData":{"ISSN":"0749-5978","author":[{"dropping-particle":"","family":"Lange","given":"Paul A M","non-dropping-particle":"Van","parse-names":false,"suffix":""},{"dropping-particle":"","family":"Joireman","given":"Jeff","non-dropping-particle":"","parse-names":false,"suffix":""},{"dropping-particle":"","family":"Parks","given":"Craig D","non-dropping-particle":"","parse-names":false,"suffix":""},{"dropping-particle":"","family":"Dijk","given":"Eric","non-dropping-particle":"Van","parse-names":false,"suffix":""}],"container-title":"Organizational Behavior and Human Decision Processes","id":"ITEM-1","issue":"2","issued":{"date-parts":[["2013"]]},"page":"125-141","publisher":"Elsevier","title":"The psychology of social dilemmas: A review","type":"article-journal","volume":"120"},"uris":["http://www.mendeley.com/documents/?uuid=a7d76109-0cdd-4b95-8026-a8304e42e657"]}],"mendeley":{"formattedCitation":"(Van Lange et al., 2013)","manualFormatting":"Van Lange et al., 2013)","plainTextFormattedCitation":"(Van Lange et al., 2013)","previouslyFormattedCitation":"(Van Lange et al. 2013)"},"properties":{"noteIndex":0},"schema":"https://github.com/citation-style-language/schema/raw/master/csl-citation.json"}</w:instrText>
      </w:r>
      <w:r w:rsidR="00851607">
        <w:rPr>
          <w:rFonts w:ascii="Times New Roman" w:hAnsi="Times New Roman"/>
        </w:rPr>
        <w:fldChar w:fldCharType="separate"/>
      </w:r>
      <w:r w:rsidR="00851607" w:rsidRPr="00851607">
        <w:rPr>
          <w:rFonts w:ascii="Times New Roman" w:hAnsi="Times New Roman"/>
          <w:noProof/>
        </w:rPr>
        <w:t>Van Lange et al., 2013)</w:t>
      </w:r>
      <w:r w:rsidR="00851607">
        <w:rPr>
          <w:rFonts w:ascii="Times New Roman" w:hAnsi="Times New Roman"/>
        </w:rPr>
        <w:fldChar w:fldCharType="end"/>
      </w:r>
      <w:r w:rsidR="005D4809" w:rsidRPr="002208A3">
        <w:rPr>
          <w:rFonts w:ascii="Times New Roman" w:hAnsi="Times New Roman"/>
        </w:rPr>
        <w:t xml:space="preserve">. </w:t>
      </w:r>
      <w:r w:rsidR="00124B45">
        <w:rPr>
          <w:rFonts w:ascii="Times New Roman" w:hAnsi="Times New Roman"/>
        </w:rPr>
        <w:t xml:space="preserve">For example, cooperation rates are higher when interactions are </w:t>
      </w:r>
      <w:r w:rsidR="00124B45">
        <w:rPr>
          <w:rFonts w:ascii="Times New Roman" w:hAnsi="Times New Roman"/>
        </w:rPr>
        <w:lastRenderedPageBreak/>
        <w:t>repeated (</w:t>
      </w:r>
      <w:r w:rsidR="00294B82">
        <w:rPr>
          <w:rFonts w:ascii="Times New Roman" w:hAnsi="Times New Roman"/>
        </w:rPr>
        <w:t>Axelrod &amp; Hamilton, 1981</w:t>
      </w:r>
      <w:r w:rsidR="00124B45">
        <w:rPr>
          <w:rFonts w:ascii="Times New Roman" w:hAnsi="Times New Roman"/>
        </w:rPr>
        <w:t xml:space="preserve">), when actions are observable and punishment is possible (Fehr &amp; </w:t>
      </w:r>
      <w:proofErr w:type="spellStart"/>
      <w:r w:rsidR="00124B45">
        <w:rPr>
          <w:rFonts w:ascii="Times New Roman" w:hAnsi="Times New Roman"/>
        </w:rPr>
        <w:t>Gachter</w:t>
      </w:r>
      <w:proofErr w:type="spellEnd"/>
      <w:r w:rsidR="00124B45">
        <w:rPr>
          <w:rFonts w:ascii="Times New Roman" w:hAnsi="Times New Roman"/>
        </w:rPr>
        <w:t xml:space="preserve"> 2000), </w:t>
      </w:r>
      <w:r w:rsidR="00CC49B3">
        <w:rPr>
          <w:rFonts w:ascii="Times New Roman" w:hAnsi="Times New Roman"/>
        </w:rPr>
        <w:t xml:space="preserve">when communication is possible (Dawes, McTavish, &amp; Shaklee, 1977), and </w:t>
      </w:r>
      <w:r w:rsidR="00124B45">
        <w:rPr>
          <w:rFonts w:ascii="Times New Roman" w:hAnsi="Times New Roman"/>
        </w:rPr>
        <w:t>when there are shared norms, shared identity, or affiliation between the actors (Brewer &amp; Kramer, 1986; Arora et al</w:t>
      </w:r>
      <w:r w:rsidR="00CC49B3">
        <w:rPr>
          <w:rFonts w:ascii="Times New Roman" w:hAnsi="Times New Roman"/>
        </w:rPr>
        <w:t>.,</w:t>
      </w:r>
      <w:r w:rsidR="00124B45">
        <w:rPr>
          <w:rFonts w:ascii="Times New Roman" w:hAnsi="Times New Roman"/>
        </w:rPr>
        <w:t xml:space="preserve"> 2012)</w:t>
      </w:r>
      <w:r w:rsidR="007B752F">
        <w:rPr>
          <w:rFonts w:ascii="Times New Roman" w:hAnsi="Times New Roman"/>
        </w:rPr>
        <w:t>.</w:t>
      </w:r>
      <w:r w:rsidR="00CC49B3">
        <w:rPr>
          <w:rFonts w:ascii="Times New Roman" w:hAnsi="Times New Roman"/>
        </w:rPr>
        <w:t xml:space="preserve"> While all social dilemmas involve some uncertainty about the actions that others will take, once all actions are known, the outcome is typically fully deterministic. (For example, if both players cooperate, they know the payoff will be $X each, and if they both do not cooperate, they know the payoff will be $Y each.) </w:t>
      </w:r>
      <w:r w:rsidR="00D328C6">
        <w:rPr>
          <w:rFonts w:ascii="Times New Roman" w:hAnsi="Times New Roman"/>
        </w:rPr>
        <w:t>Therefore, in the current manuscript w</w:t>
      </w:r>
      <w:r w:rsidR="00CC49B3">
        <w:rPr>
          <w:rFonts w:ascii="Times New Roman" w:hAnsi="Times New Roman"/>
        </w:rPr>
        <w:t xml:space="preserve">e call these </w:t>
      </w:r>
      <w:r w:rsidR="00CC49B3">
        <w:rPr>
          <w:rFonts w:ascii="Times New Roman" w:hAnsi="Times New Roman"/>
          <w:i/>
          <w:iCs/>
        </w:rPr>
        <w:t>deterministic</w:t>
      </w:r>
      <w:r w:rsidR="00CC49B3">
        <w:rPr>
          <w:rFonts w:ascii="Times New Roman" w:hAnsi="Times New Roman"/>
        </w:rPr>
        <w:t xml:space="preserve"> social dilemmas, because given a set of actions, the outcomes are completely certain and determined. </w:t>
      </w:r>
    </w:p>
    <w:p w14:paraId="287A0F7D" w14:textId="3E806CAC" w:rsidR="00934A7E" w:rsidRDefault="00CC49B3" w:rsidP="00511D2D">
      <w:pPr>
        <w:spacing w:line="480" w:lineRule="auto"/>
        <w:ind w:firstLine="720"/>
        <w:rPr>
          <w:rFonts w:ascii="Times New Roman" w:hAnsi="Times New Roman"/>
        </w:rPr>
      </w:pPr>
      <w:r>
        <w:rPr>
          <w:rFonts w:ascii="Times New Roman" w:hAnsi="Times New Roman"/>
        </w:rPr>
        <w:t>While previous academic research has mostly studied deterministic social dilemmas (though see our literature review below), m</w:t>
      </w:r>
      <w:r w:rsidRPr="009B434A">
        <w:rPr>
          <w:rFonts w:ascii="Times New Roman" w:hAnsi="Times New Roman"/>
        </w:rPr>
        <w:t xml:space="preserve">any </w:t>
      </w:r>
      <w:r w:rsidR="00700A9C" w:rsidRPr="009B434A">
        <w:rPr>
          <w:rFonts w:ascii="Times New Roman" w:hAnsi="Times New Roman"/>
        </w:rPr>
        <w:t>real-world</w:t>
      </w:r>
      <w:r w:rsidR="00957F52" w:rsidRPr="009B434A">
        <w:rPr>
          <w:rFonts w:ascii="Times New Roman" w:hAnsi="Times New Roman"/>
        </w:rPr>
        <w:t xml:space="preserve"> </w:t>
      </w:r>
      <w:r>
        <w:rPr>
          <w:rFonts w:ascii="Times New Roman" w:hAnsi="Times New Roman"/>
        </w:rPr>
        <w:t>situations of interest</w:t>
      </w:r>
      <w:r w:rsidR="00957F52" w:rsidRPr="009B434A">
        <w:rPr>
          <w:rFonts w:ascii="Times New Roman" w:hAnsi="Times New Roman"/>
        </w:rPr>
        <w:t xml:space="preserve"> </w:t>
      </w:r>
      <w:r w:rsidRPr="009B434A">
        <w:rPr>
          <w:rFonts w:ascii="Times New Roman" w:hAnsi="Times New Roman"/>
        </w:rPr>
        <w:t>involv</w:t>
      </w:r>
      <w:r>
        <w:rPr>
          <w:rFonts w:ascii="Times New Roman" w:hAnsi="Times New Roman"/>
        </w:rPr>
        <w:t xml:space="preserve">e </w:t>
      </w:r>
      <w:r>
        <w:rPr>
          <w:rFonts w:ascii="Times New Roman" w:hAnsi="Times New Roman"/>
          <w:i/>
          <w:iCs/>
        </w:rPr>
        <w:t>stochastic</w:t>
      </w:r>
      <w:r>
        <w:rPr>
          <w:rFonts w:ascii="Times New Roman" w:hAnsi="Times New Roman"/>
        </w:rPr>
        <w:t xml:space="preserve"> </w:t>
      </w:r>
      <w:r w:rsidRPr="00511D2D">
        <w:rPr>
          <w:rFonts w:ascii="Times New Roman" w:hAnsi="Times New Roman"/>
          <w:i/>
          <w:iCs/>
        </w:rPr>
        <w:t>outcomes</w:t>
      </w:r>
      <w:r>
        <w:rPr>
          <w:rFonts w:ascii="Times New Roman" w:hAnsi="Times New Roman"/>
        </w:rPr>
        <w:t xml:space="preserve">, where even if </w:t>
      </w:r>
      <w:r w:rsidR="00D328C6">
        <w:rPr>
          <w:rFonts w:ascii="Times New Roman" w:hAnsi="Times New Roman"/>
        </w:rPr>
        <w:t>the decisions of all actors</w:t>
      </w:r>
      <w:r>
        <w:rPr>
          <w:rFonts w:ascii="Times New Roman" w:hAnsi="Times New Roman"/>
        </w:rPr>
        <w:t xml:space="preserve"> are known, there is still some risk involved</w:t>
      </w:r>
      <w:r w:rsidR="00BD5377" w:rsidRPr="002208A3">
        <w:rPr>
          <w:rFonts w:ascii="Times New Roman" w:hAnsi="Times New Roman"/>
        </w:rPr>
        <w:t xml:space="preserve">. </w:t>
      </w:r>
      <w:r w:rsidR="007C59C4" w:rsidRPr="002208A3">
        <w:rPr>
          <w:rFonts w:ascii="Times New Roman" w:hAnsi="Times New Roman"/>
        </w:rPr>
        <w:t xml:space="preserve">For example, </w:t>
      </w:r>
      <w:r w:rsidR="005522A5" w:rsidRPr="002208A3">
        <w:rPr>
          <w:rFonts w:ascii="Times New Roman" w:hAnsi="Times New Roman"/>
        </w:rPr>
        <w:t>farmers</w:t>
      </w:r>
      <w:r w:rsidR="007C59C4" w:rsidRPr="002208A3">
        <w:rPr>
          <w:rFonts w:ascii="Times New Roman" w:hAnsi="Times New Roman"/>
        </w:rPr>
        <w:t xml:space="preserve"> investing in security</w:t>
      </w:r>
      <w:r w:rsidR="00401D4E">
        <w:rPr>
          <w:rFonts w:ascii="Times New Roman" w:hAnsi="Times New Roman"/>
        </w:rPr>
        <w:t xml:space="preserve"> for the</w:t>
      </w:r>
      <w:r w:rsidR="00CF215C">
        <w:rPr>
          <w:rFonts w:ascii="Times New Roman" w:hAnsi="Times New Roman"/>
        </w:rPr>
        <w:t>ir</w:t>
      </w:r>
      <w:r w:rsidR="00401D4E">
        <w:rPr>
          <w:rFonts w:ascii="Times New Roman" w:hAnsi="Times New Roman"/>
        </w:rPr>
        <w:t xml:space="preserve"> crops</w:t>
      </w:r>
      <w:r w:rsidR="007C59C4" w:rsidRPr="002208A3">
        <w:rPr>
          <w:rFonts w:ascii="Times New Roman" w:hAnsi="Times New Roman"/>
        </w:rPr>
        <w:t xml:space="preserve"> do not know exactly what will happen given how much they spend.</w:t>
      </w:r>
      <w:r w:rsidR="00227DAA" w:rsidRPr="002208A3">
        <w:rPr>
          <w:rFonts w:ascii="Times New Roman" w:hAnsi="Times New Roman"/>
        </w:rPr>
        <w:t xml:space="preserve"> </w:t>
      </w:r>
      <w:r w:rsidR="00CF215C">
        <w:rPr>
          <w:rFonts w:ascii="Times New Roman" w:hAnsi="Times New Roman"/>
        </w:rPr>
        <w:t xml:space="preserve">A group of farmers might spend nothing on disease prevention, despite a 10% probability of total crop failure, and yet get lucky and never face diseased crops for many years. </w:t>
      </w:r>
      <w:r w:rsidR="00DF6556" w:rsidRPr="002208A3">
        <w:rPr>
          <w:rFonts w:ascii="Times New Roman" w:hAnsi="Times New Roman"/>
        </w:rPr>
        <w:t xml:space="preserve">The current research </w:t>
      </w:r>
      <w:r w:rsidR="00D328C6">
        <w:rPr>
          <w:rFonts w:ascii="Times New Roman" w:hAnsi="Times New Roman"/>
        </w:rPr>
        <w:t>examines</w:t>
      </w:r>
      <w:r w:rsidR="00DF6556" w:rsidRPr="002208A3">
        <w:rPr>
          <w:rFonts w:ascii="Times New Roman" w:hAnsi="Times New Roman"/>
        </w:rPr>
        <w:t xml:space="preserve"> the effect of </w:t>
      </w:r>
      <w:r w:rsidR="00401D4E">
        <w:rPr>
          <w:rFonts w:ascii="Times New Roman" w:hAnsi="Times New Roman"/>
        </w:rPr>
        <w:t>this</w:t>
      </w:r>
      <w:r w:rsidR="00401D4E" w:rsidRPr="00401D4E">
        <w:rPr>
          <w:rFonts w:ascii="Times New Roman" w:hAnsi="Times New Roman"/>
        </w:rPr>
        <w:t xml:space="preserve"> </w:t>
      </w:r>
      <w:r w:rsidR="00401D4E">
        <w:rPr>
          <w:rFonts w:ascii="Times New Roman" w:hAnsi="Times New Roman"/>
        </w:rPr>
        <w:t>“</w:t>
      </w:r>
      <w:r w:rsidR="00401D4E" w:rsidRPr="008A7C02">
        <w:rPr>
          <w:rFonts w:ascii="Times New Roman" w:hAnsi="Times New Roman"/>
        </w:rPr>
        <w:t xml:space="preserve">outcome </w:t>
      </w:r>
      <w:r>
        <w:rPr>
          <w:rFonts w:ascii="Times New Roman" w:hAnsi="Times New Roman"/>
        </w:rPr>
        <w:t>risk</w:t>
      </w:r>
      <w:r w:rsidR="00401D4E">
        <w:rPr>
          <w:rFonts w:ascii="Times New Roman" w:hAnsi="Times New Roman"/>
        </w:rPr>
        <w:t>” on cooperation decisions</w:t>
      </w:r>
      <w:r w:rsidR="00CF215C">
        <w:rPr>
          <w:rFonts w:ascii="Times New Roman" w:hAnsi="Times New Roman"/>
        </w:rPr>
        <w:t xml:space="preserve"> involving </w:t>
      </w:r>
      <w:r w:rsidR="00C15CA3">
        <w:rPr>
          <w:rFonts w:ascii="Times New Roman" w:hAnsi="Times New Roman"/>
        </w:rPr>
        <w:t xml:space="preserve">large </w:t>
      </w:r>
      <w:r w:rsidR="00CF215C">
        <w:rPr>
          <w:rFonts w:ascii="Times New Roman" w:hAnsi="Times New Roman"/>
        </w:rPr>
        <w:t>potential losses, a</w:t>
      </w:r>
      <w:r w:rsidR="00D328C6">
        <w:rPr>
          <w:rFonts w:ascii="Times New Roman" w:hAnsi="Times New Roman"/>
        </w:rPr>
        <w:t>nd tests an intervention</w:t>
      </w:r>
      <w:r w:rsidR="00CF215C">
        <w:rPr>
          <w:rFonts w:ascii="Times New Roman" w:hAnsi="Times New Roman"/>
        </w:rPr>
        <w:t xml:space="preserve"> </w:t>
      </w:r>
      <w:r w:rsidR="00D328C6">
        <w:rPr>
          <w:rFonts w:ascii="Times New Roman" w:hAnsi="Times New Roman"/>
        </w:rPr>
        <w:t>to encourage participants to engage in mutually-beneficial protection</w:t>
      </w:r>
      <w:r w:rsidR="00DF6556" w:rsidRPr="002208A3">
        <w:rPr>
          <w:rFonts w:ascii="Times New Roman" w:hAnsi="Times New Roman"/>
        </w:rPr>
        <w:t xml:space="preserve">. </w:t>
      </w:r>
      <w:r w:rsidR="00934A7E">
        <w:rPr>
          <w:rFonts w:ascii="Times New Roman" w:hAnsi="Times New Roman"/>
        </w:rPr>
        <w:t>Table 1 shows the payoff matrix used in the present research to study stochastic prisoner’s dilemmas (SPDs), with low probability, high magnitude losses.</w:t>
      </w:r>
    </w:p>
    <w:p w14:paraId="59FA63A0" w14:textId="77777777" w:rsidR="00934A7E" w:rsidRDefault="00934A7E">
      <w:pPr>
        <w:rPr>
          <w:rFonts w:ascii="Times New Roman" w:hAnsi="Times New Roman"/>
          <w:i/>
        </w:rPr>
      </w:pPr>
      <w:r>
        <w:rPr>
          <w:rFonts w:ascii="Times New Roman" w:hAnsi="Times New Roman"/>
          <w:i/>
        </w:rPr>
        <w:br w:type="page"/>
      </w:r>
    </w:p>
    <w:p w14:paraId="3934EC57" w14:textId="4E1AA38E" w:rsidR="00934A7E" w:rsidRPr="002208A3" w:rsidRDefault="00934A7E" w:rsidP="00934A7E">
      <w:pPr>
        <w:rPr>
          <w:rFonts w:ascii="Times New Roman" w:hAnsi="Times New Roman"/>
          <w:i/>
        </w:rPr>
      </w:pPr>
      <w:r>
        <w:rPr>
          <w:rFonts w:ascii="Times New Roman" w:hAnsi="Times New Roman"/>
          <w:i/>
        </w:rPr>
        <w:lastRenderedPageBreak/>
        <w:t>Table 1</w:t>
      </w:r>
      <w:r w:rsidRPr="002208A3">
        <w:rPr>
          <w:rFonts w:ascii="Times New Roman" w:hAnsi="Times New Roman"/>
          <w:i/>
        </w:rPr>
        <w:t xml:space="preserve">: Payoff matrix in </w:t>
      </w:r>
      <w:r w:rsidR="00E30800">
        <w:rPr>
          <w:rFonts w:ascii="Times New Roman" w:hAnsi="Times New Roman"/>
          <w:i/>
        </w:rPr>
        <w:t>a</w:t>
      </w:r>
      <w:r w:rsidRPr="002208A3">
        <w:rPr>
          <w:rFonts w:ascii="Times New Roman" w:hAnsi="Times New Roman"/>
          <w:i/>
        </w:rPr>
        <w:t xml:space="preserve"> stochastic prisoner's dilemma (SPD)</w:t>
      </w:r>
      <w:r w:rsidR="00324031">
        <w:rPr>
          <w:rFonts w:ascii="Times New Roman" w:hAnsi="Times New Roman"/>
          <w:i/>
        </w:rPr>
        <w:t xml:space="preserve">. The scenario </w:t>
      </w:r>
      <w:r w:rsidR="00E30800">
        <w:rPr>
          <w:rFonts w:ascii="Times New Roman" w:hAnsi="Times New Roman"/>
          <w:i/>
        </w:rPr>
        <w:t>employs</w:t>
      </w:r>
      <w:r w:rsidR="00324031">
        <w:rPr>
          <w:rFonts w:ascii="Times New Roman" w:hAnsi="Times New Roman"/>
          <w:i/>
        </w:rPr>
        <w:t xml:space="preserve"> </w:t>
      </w:r>
      <w:r w:rsidR="00E30800">
        <w:rPr>
          <w:rFonts w:ascii="Times New Roman" w:hAnsi="Times New Roman"/>
          <w:i/>
        </w:rPr>
        <w:t xml:space="preserve">an environmental cover story of two farmers deciding whether to protect against groundwater contamination. </w:t>
      </w:r>
      <w:r w:rsidR="00811351">
        <w:rPr>
          <w:rFonts w:ascii="Times New Roman" w:hAnsi="Times New Roman"/>
          <w:i/>
        </w:rPr>
        <w:t>(Note that a</w:t>
      </w:r>
      <w:r w:rsidR="00E30800">
        <w:rPr>
          <w:rFonts w:ascii="Times New Roman" w:hAnsi="Times New Roman"/>
          <w:i/>
        </w:rPr>
        <w:t xml:space="preserve"> purely financial SPD scenario with the same payoff structure was also tested and reported in Appendix Study A.</w:t>
      </w:r>
      <w:r w:rsidR="00811351">
        <w:rPr>
          <w:rFonts w:ascii="Times New Roman" w:hAnsi="Times New Roman"/>
          <w:i/>
        </w:rPr>
        <w:t>)</w:t>
      </w:r>
      <w:r w:rsidR="00E30800">
        <w:rPr>
          <w:rFonts w:ascii="Times New Roman" w:hAnsi="Times New Roman"/>
          <w:i/>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50"/>
        <w:gridCol w:w="912"/>
        <w:gridCol w:w="3729"/>
        <w:gridCol w:w="3533"/>
      </w:tblGrid>
      <w:tr w:rsidR="00934A7E" w:rsidRPr="002208A3" w14:paraId="6F884480" w14:textId="77777777" w:rsidTr="00FA1B8E">
        <w:trPr>
          <w:tblCellSpacing w:w="15"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tcPr>
          <w:p w14:paraId="3E5B9674" w14:textId="77777777" w:rsidR="00934A7E" w:rsidRPr="002208A3" w:rsidRDefault="00934A7E" w:rsidP="00FA1B8E">
            <w:pPr>
              <w:spacing w:line="480" w:lineRule="auto"/>
              <w:rPr>
                <w:rFonts w:ascii="Times New Roman" w:hAnsi="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14:paraId="5AA7B99B" w14:textId="77777777" w:rsidR="00934A7E" w:rsidRPr="002208A3" w:rsidRDefault="00934A7E" w:rsidP="00FA1B8E">
            <w:pPr>
              <w:spacing w:line="480" w:lineRule="auto"/>
              <w:jc w:val="center"/>
              <w:rPr>
                <w:rFonts w:ascii="Times New Roman" w:hAnsi="Times New Roman"/>
                <w:sz w:val="20"/>
                <w:szCs w:val="20"/>
              </w:rPr>
            </w:pPr>
            <w:r w:rsidRPr="002208A3">
              <w:rPr>
                <w:rFonts w:ascii="Times New Roman" w:hAnsi="Times New Roman"/>
                <w:sz w:val="20"/>
                <w:szCs w:val="20"/>
              </w:rPr>
              <w:t>Your Counterpart</w:t>
            </w:r>
          </w:p>
        </w:tc>
      </w:tr>
      <w:tr w:rsidR="00934A7E" w:rsidRPr="002208A3" w14:paraId="30D227D8" w14:textId="77777777" w:rsidTr="00FA1B8E">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tcPr>
          <w:p w14:paraId="59B8D07E" w14:textId="77777777" w:rsidR="00934A7E" w:rsidRPr="002208A3" w:rsidRDefault="00934A7E" w:rsidP="00FA1B8E">
            <w:pPr>
              <w:spacing w:line="480" w:lineRule="auto"/>
              <w:rPr>
                <w:rFonts w:ascii="Times New Roman" w:hAnsi="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2223647E" w14:textId="77777777" w:rsidR="00934A7E" w:rsidRPr="002208A3" w:rsidRDefault="00934A7E" w:rsidP="00FA1B8E">
            <w:pPr>
              <w:spacing w:line="480" w:lineRule="auto"/>
              <w:jc w:val="center"/>
              <w:rPr>
                <w:rFonts w:ascii="Times New Roman" w:hAnsi="Times New Roman"/>
                <w:sz w:val="20"/>
                <w:szCs w:val="20"/>
              </w:rPr>
            </w:pPr>
            <w:r w:rsidRPr="002208A3">
              <w:rPr>
                <w:rFonts w:ascii="Times New Roman" w:hAnsi="Times New Roman"/>
                <w:sz w:val="20"/>
                <w:szCs w:val="20"/>
              </w:rPr>
              <w:t>INVEST</w:t>
            </w:r>
          </w:p>
        </w:tc>
        <w:tc>
          <w:tcPr>
            <w:tcW w:w="0" w:type="auto"/>
            <w:tcBorders>
              <w:top w:val="outset" w:sz="6" w:space="0" w:color="auto"/>
              <w:left w:val="outset" w:sz="6" w:space="0" w:color="auto"/>
              <w:bottom w:val="outset" w:sz="6" w:space="0" w:color="auto"/>
              <w:right w:val="outset" w:sz="6" w:space="0" w:color="auto"/>
            </w:tcBorders>
            <w:vAlign w:val="center"/>
          </w:tcPr>
          <w:p w14:paraId="42D2ECC5" w14:textId="77777777" w:rsidR="00934A7E" w:rsidRPr="002208A3" w:rsidRDefault="00934A7E" w:rsidP="00FA1B8E">
            <w:pPr>
              <w:spacing w:line="480" w:lineRule="auto"/>
              <w:jc w:val="center"/>
              <w:rPr>
                <w:rFonts w:ascii="Times New Roman" w:hAnsi="Times New Roman"/>
                <w:sz w:val="20"/>
                <w:szCs w:val="20"/>
              </w:rPr>
            </w:pPr>
            <w:r w:rsidRPr="002208A3">
              <w:rPr>
                <w:rFonts w:ascii="Times New Roman" w:hAnsi="Times New Roman"/>
                <w:sz w:val="20"/>
                <w:szCs w:val="20"/>
              </w:rPr>
              <w:t>NOT INVEST</w:t>
            </w:r>
          </w:p>
        </w:tc>
      </w:tr>
      <w:tr w:rsidR="00934A7E" w:rsidRPr="002208A3" w14:paraId="56FF16C1" w14:textId="77777777" w:rsidTr="00FA1B8E">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094F60FD" w14:textId="77777777" w:rsidR="00934A7E" w:rsidRPr="002208A3" w:rsidRDefault="00934A7E" w:rsidP="00FA1B8E">
            <w:pPr>
              <w:spacing w:line="480" w:lineRule="auto"/>
              <w:rPr>
                <w:rFonts w:ascii="Times New Roman" w:hAnsi="Times New Roman"/>
                <w:sz w:val="20"/>
                <w:szCs w:val="20"/>
              </w:rPr>
            </w:pPr>
            <w:r w:rsidRPr="002208A3">
              <w:rPr>
                <w:rFonts w:ascii="Times New Roman" w:hAnsi="Times New Roman"/>
                <w:sz w:val="20"/>
                <w:szCs w:val="20"/>
              </w:rPr>
              <w:t>You</w:t>
            </w:r>
          </w:p>
        </w:tc>
        <w:tc>
          <w:tcPr>
            <w:tcW w:w="0" w:type="auto"/>
            <w:tcBorders>
              <w:top w:val="outset" w:sz="6" w:space="0" w:color="auto"/>
              <w:left w:val="outset" w:sz="6" w:space="0" w:color="auto"/>
              <w:bottom w:val="outset" w:sz="6" w:space="0" w:color="auto"/>
              <w:right w:val="outset" w:sz="6" w:space="0" w:color="auto"/>
            </w:tcBorders>
            <w:vAlign w:val="center"/>
          </w:tcPr>
          <w:p w14:paraId="45488361" w14:textId="77777777" w:rsidR="00934A7E" w:rsidRPr="002208A3" w:rsidRDefault="00934A7E" w:rsidP="00FA1B8E">
            <w:pPr>
              <w:spacing w:line="480" w:lineRule="auto"/>
              <w:rPr>
                <w:rFonts w:ascii="Times New Roman" w:hAnsi="Times New Roman"/>
                <w:sz w:val="20"/>
                <w:szCs w:val="20"/>
              </w:rPr>
            </w:pPr>
            <w:r w:rsidRPr="002208A3">
              <w:rPr>
                <w:rFonts w:ascii="Times New Roman" w:hAnsi="Times New Roman"/>
                <w:sz w:val="20"/>
                <w:szCs w:val="20"/>
              </w:rPr>
              <w:t>INVEST</w:t>
            </w:r>
          </w:p>
        </w:tc>
        <w:tc>
          <w:tcPr>
            <w:tcW w:w="0" w:type="auto"/>
            <w:tcBorders>
              <w:top w:val="outset" w:sz="6" w:space="0" w:color="auto"/>
              <w:left w:val="outset" w:sz="6" w:space="0" w:color="auto"/>
              <w:bottom w:val="outset" w:sz="6" w:space="0" w:color="auto"/>
              <w:right w:val="outset" w:sz="6" w:space="0" w:color="auto"/>
            </w:tcBorders>
            <w:vAlign w:val="center"/>
          </w:tcPr>
          <w:p w14:paraId="09E5064B" w14:textId="77777777" w:rsidR="00934A7E" w:rsidRPr="002208A3" w:rsidRDefault="00934A7E" w:rsidP="00FA1B8E">
            <w:pPr>
              <w:spacing w:line="480" w:lineRule="auto"/>
              <w:rPr>
                <w:rFonts w:ascii="Times New Roman" w:hAnsi="Times New Roman"/>
                <w:sz w:val="20"/>
                <w:szCs w:val="20"/>
              </w:rPr>
            </w:pPr>
            <w:r w:rsidRPr="002208A3">
              <w:rPr>
                <w:rFonts w:ascii="Times New Roman" w:hAnsi="Times New Roman"/>
                <w:sz w:val="20"/>
                <w:szCs w:val="20"/>
              </w:rPr>
              <w:t xml:space="preserve">- You definitely lose </w:t>
            </w:r>
            <w:r w:rsidRPr="002208A3">
              <w:rPr>
                <w:rFonts w:ascii="Times New Roman" w:hAnsi="Times New Roman"/>
                <w:b/>
                <w:bCs/>
                <w:sz w:val="20"/>
                <w:szCs w:val="20"/>
              </w:rPr>
              <w:t>1,400 Rp</w:t>
            </w:r>
            <w:r w:rsidRPr="002208A3">
              <w:rPr>
                <w:rFonts w:ascii="Times New Roman" w:hAnsi="Times New Roman"/>
                <w:sz w:val="20"/>
                <w:szCs w:val="20"/>
              </w:rPr>
              <w:t>, and have a 0% chance of groundwater contamination.</w:t>
            </w:r>
            <w:r w:rsidRPr="002208A3">
              <w:rPr>
                <w:rFonts w:ascii="Times New Roman" w:hAnsi="Times New Roman"/>
                <w:sz w:val="20"/>
                <w:szCs w:val="20"/>
              </w:rPr>
              <w:br/>
            </w:r>
            <w:r w:rsidRPr="002208A3">
              <w:rPr>
                <w:rFonts w:ascii="Times New Roman" w:hAnsi="Times New Roman"/>
                <w:sz w:val="20"/>
                <w:szCs w:val="20"/>
              </w:rPr>
              <w:br/>
              <w:t xml:space="preserve">- Your counterpart definitely loses </w:t>
            </w:r>
            <w:r w:rsidRPr="002208A3">
              <w:rPr>
                <w:rFonts w:ascii="Times New Roman" w:hAnsi="Times New Roman"/>
                <w:b/>
                <w:bCs/>
                <w:sz w:val="20"/>
                <w:szCs w:val="20"/>
              </w:rPr>
              <w:t>1,400 Rp</w:t>
            </w:r>
            <w:r w:rsidRPr="002208A3">
              <w:rPr>
                <w:rFonts w:ascii="Times New Roman" w:hAnsi="Times New Roman"/>
                <w:sz w:val="20"/>
                <w:szCs w:val="20"/>
              </w:rPr>
              <w:t>, and has a 0% chance of groundwater contamination.</w:t>
            </w:r>
          </w:p>
        </w:tc>
        <w:tc>
          <w:tcPr>
            <w:tcW w:w="0" w:type="auto"/>
            <w:tcBorders>
              <w:top w:val="outset" w:sz="6" w:space="0" w:color="auto"/>
              <w:left w:val="outset" w:sz="6" w:space="0" w:color="auto"/>
              <w:bottom w:val="outset" w:sz="6" w:space="0" w:color="auto"/>
              <w:right w:val="outset" w:sz="6" w:space="0" w:color="auto"/>
            </w:tcBorders>
            <w:vAlign w:val="center"/>
          </w:tcPr>
          <w:p w14:paraId="322F2DDC" w14:textId="77777777" w:rsidR="00934A7E" w:rsidRPr="002208A3" w:rsidRDefault="00934A7E" w:rsidP="00FA1B8E">
            <w:pPr>
              <w:spacing w:line="480" w:lineRule="auto"/>
              <w:rPr>
                <w:rFonts w:ascii="Times New Roman" w:hAnsi="Times New Roman"/>
                <w:sz w:val="20"/>
                <w:szCs w:val="20"/>
              </w:rPr>
            </w:pPr>
            <w:r w:rsidRPr="002208A3">
              <w:rPr>
                <w:rFonts w:ascii="Times New Roman" w:hAnsi="Times New Roman"/>
                <w:sz w:val="20"/>
                <w:szCs w:val="20"/>
              </w:rPr>
              <w:t xml:space="preserve">- You definitely lose </w:t>
            </w:r>
            <w:r w:rsidRPr="002208A3">
              <w:rPr>
                <w:rFonts w:ascii="Times New Roman" w:hAnsi="Times New Roman"/>
                <w:b/>
                <w:bCs/>
                <w:sz w:val="20"/>
                <w:szCs w:val="20"/>
              </w:rPr>
              <w:t>1,400 Rp</w:t>
            </w:r>
            <w:r w:rsidRPr="002208A3">
              <w:rPr>
                <w:rFonts w:ascii="Times New Roman" w:hAnsi="Times New Roman"/>
                <w:sz w:val="20"/>
                <w:szCs w:val="20"/>
              </w:rPr>
              <w:t xml:space="preserve"> and have a 1% chance of groundwater contamination </w:t>
            </w:r>
            <w:proofErr w:type="spellStart"/>
            <w:r w:rsidRPr="002208A3">
              <w:rPr>
                <w:rFonts w:ascii="Times New Roman" w:hAnsi="Times New Roman"/>
                <w:sz w:val="20"/>
                <w:szCs w:val="20"/>
              </w:rPr>
              <w:t>occuring</w:t>
            </w:r>
            <w:proofErr w:type="spellEnd"/>
            <w:r w:rsidRPr="002208A3">
              <w:rPr>
                <w:rFonts w:ascii="Times New Roman" w:hAnsi="Times New Roman"/>
                <w:sz w:val="20"/>
                <w:szCs w:val="20"/>
              </w:rPr>
              <w:t xml:space="preserve"> and losing an additional </w:t>
            </w:r>
            <w:r w:rsidRPr="002208A3">
              <w:rPr>
                <w:rFonts w:ascii="Times New Roman" w:hAnsi="Times New Roman"/>
                <w:b/>
                <w:bCs/>
                <w:sz w:val="20"/>
                <w:szCs w:val="20"/>
              </w:rPr>
              <w:t>40,000 Rp</w:t>
            </w:r>
            <w:r w:rsidRPr="002208A3">
              <w:rPr>
                <w:rFonts w:ascii="Times New Roman" w:hAnsi="Times New Roman"/>
                <w:sz w:val="20"/>
                <w:szCs w:val="20"/>
              </w:rPr>
              <w:t>.</w:t>
            </w:r>
            <w:r w:rsidRPr="002208A3">
              <w:rPr>
                <w:rFonts w:ascii="Times New Roman" w:hAnsi="Times New Roman"/>
                <w:sz w:val="20"/>
                <w:szCs w:val="20"/>
              </w:rPr>
              <w:br/>
            </w:r>
            <w:r w:rsidRPr="002208A3">
              <w:rPr>
                <w:rFonts w:ascii="Times New Roman" w:hAnsi="Times New Roman"/>
                <w:sz w:val="20"/>
                <w:szCs w:val="20"/>
              </w:rPr>
              <w:br/>
              <w:t xml:space="preserve">- Your counterpart has a 3% chance of losing </w:t>
            </w:r>
            <w:r w:rsidRPr="002208A3">
              <w:rPr>
                <w:rFonts w:ascii="Times New Roman" w:hAnsi="Times New Roman"/>
                <w:b/>
                <w:bCs/>
                <w:sz w:val="20"/>
                <w:szCs w:val="20"/>
              </w:rPr>
              <w:t>40,000 Rp</w:t>
            </w:r>
            <w:r w:rsidRPr="002208A3">
              <w:rPr>
                <w:rFonts w:ascii="Times New Roman" w:hAnsi="Times New Roman"/>
                <w:sz w:val="20"/>
                <w:szCs w:val="20"/>
              </w:rPr>
              <w:t xml:space="preserve"> due to groundwater contamination and a 97% chance of losing </w:t>
            </w:r>
            <w:r w:rsidRPr="002208A3">
              <w:rPr>
                <w:rFonts w:ascii="Times New Roman" w:hAnsi="Times New Roman"/>
                <w:b/>
                <w:bCs/>
                <w:sz w:val="20"/>
                <w:szCs w:val="20"/>
              </w:rPr>
              <w:t>0 Rp</w:t>
            </w:r>
          </w:p>
        </w:tc>
      </w:tr>
      <w:tr w:rsidR="00934A7E" w:rsidRPr="002208A3" w14:paraId="5BDFF783" w14:textId="77777777" w:rsidTr="00FA1B8E">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1318CF0B" w14:textId="77777777" w:rsidR="00934A7E" w:rsidRPr="002208A3" w:rsidRDefault="00934A7E" w:rsidP="00FA1B8E">
            <w:pPr>
              <w:spacing w:line="480" w:lineRule="auto"/>
              <w:rPr>
                <w:rFonts w:ascii="Times New Roman" w:hAnsi="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39CBA62C" w14:textId="77777777" w:rsidR="00934A7E" w:rsidRPr="002208A3" w:rsidRDefault="00934A7E" w:rsidP="00FA1B8E">
            <w:pPr>
              <w:spacing w:line="480" w:lineRule="auto"/>
              <w:rPr>
                <w:rFonts w:ascii="Times New Roman" w:hAnsi="Times New Roman"/>
                <w:sz w:val="20"/>
                <w:szCs w:val="20"/>
              </w:rPr>
            </w:pPr>
            <w:r w:rsidRPr="002208A3">
              <w:rPr>
                <w:rFonts w:ascii="Times New Roman" w:hAnsi="Times New Roman"/>
                <w:sz w:val="20"/>
                <w:szCs w:val="20"/>
              </w:rPr>
              <w:t>NOT INVEST</w:t>
            </w:r>
          </w:p>
        </w:tc>
        <w:tc>
          <w:tcPr>
            <w:tcW w:w="0" w:type="auto"/>
            <w:tcBorders>
              <w:top w:val="outset" w:sz="6" w:space="0" w:color="auto"/>
              <w:left w:val="outset" w:sz="6" w:space="0" w:color="auto"/>
              <w:bottom w:val="outset" w:sz="6" w:space="0" w:color="auto"/>
              <w:right w:val="outset" w:sz="6" w:space="0" w:color="auto"/>
            </w:tcBorders>
            <w:vAlign w:val="center"/>
          </w:tcPr>
          <w:p w14:paraId="54B2C345" w14:textId="77777777" w:rsidR="00934A7E" w:rsidRPr="002208A3" w:rsidRDefault="00934A7E" w:rsidP="00FA1B8E">
            <w:pPr>
              <w:spacing w:line="480" w:lineRule="auto"/>
              <w:rPr>
                <w:rFonts w:ascii="Times New Roman" w:hAnsi="Times New Roman"/>
                <w:sz w:val="20"/>
                <w:szCs w:val="20"/>
              </w:rPr>
            </w:pPr>
            <w:r w:rsidRPr="002208A3">
              <w:rPr>
                <w:rFonts w:ascii="Times New Roman" w:hAnsi="Times New Roman"/>
                <w:sz w:val="20"/>
                <w:szCs w:val="20"/>
              </w:rPr>
              <w:t xml:space="preserve">- You have a 3% chance of losing </w:t>
            </w:r>
            <w:r w:rsidRPr="002208A3">
              <w:rPr>
                <w:rFonts w:ascii="Times New Roman" w:hAnsi="Times New Roman"/>
                <w:b/>
                <w:bCs/>
                <w:sz w:val="20"/>
                <w:szCs w:val="20"/>
              </w:rPr>
              <w:t>40,000 Rp</w:t>
            </w:r>
            <w:r w:rsidRPr="002208A3">
              <w:rPr>
                <w:rFonts w:ascii="Times New Roman" w:hAnsi="Times New Roman"/>
                <w:sz w:val="20"/>
                <w:szCs w:val="20"/>
              </w:rPr>
              <w:t xml:space="preserve"> due to groundwater contamination and a 97% chance of losing </w:t>
            </w:r>
            <w:r w:rsidRPr="002208A3">
              <w:rPr>
                <w:rFonts w:ascii="Times New Roman" w:hAnsi="Times New Roman"/>
                <w:b/>
                <w:bCs/>
                <w:sz w:val="20"/>
                <w:szCs w:val="20"/>
              </w:rPr>
              <w:t>0 Rp</w:t>
            </w:r>
            <w:r w:rsidRPr="002208A3">
              <w:rPr>
                <w:rFonts w:ascii="Times New Roman" w:hAnsi="Times New Roman"/>
                <w:sz w:val="20"/>
                <w:szCs w:val="20"/>
              </w:rPr>
              <w:t>.</w:t>
            </w:r>
            <w:r w:rsidRPr="002208A3">
              <w:rPr>
                <w:rFonts w:ascii="Times New Roman" w:hAnsi="Times New Roman"/>
                <w:sz w:val="20"/>
                <w:szCs w:val="20"/>
              </w:rPr>
              <w:br/>
            </w:r>
            <w:r w:rsidRPr="002208A3">
              <w:rPr>
                <w:rFonts w:ascii="Times New Roman" w:hAnsi="Times New Roman"/>
                <w:sz w:val="20"/>
                <w:szCs w:val="20"/>
              </w:rPr>
              <w:br/>
              <w:t xml:space="preserve">- Your counterpart definitely loses </w:t>
            </w:r>
            <w:r w:rsidRPr="002208A3">
              <w:rPr>
                <w:rFonts w:ascii="Times New Roman" w:hAnsi="Times New Roman"/>
                <w:b/>
                <w:bCs/>
                <w:sz w:val="20"/>
                <w:szCs w:val="20"/>
              </w:rPr>
              <w:t>1,400 Rp</w:t>
            </w:r>
            <w:r w:rsidRPr="002208A3">
              <w:rPr>
                <w:rFonts w:ascii="Times New Roman" w:hAnsi="Times New Roman"/>
                <w:sz w:val="20"/>
                <w:szCs w:val="20"/>
              </w:rPr>
              <w:t xml:space="preserve"> and has a 1% chance of groundwater contamination </w:t>
            </w:r>
            <w:proofErr w:type="spellStart"/>
            <w:r w:rsidRPr="002208A3">
              <w:rPr>
                <w:rFonts w:ascii="Times New Roman" w:hAnsi="Times New Roman"/>
                <w:sz w:val="20"/>
                <w:szCs w:val="20"/>
              </w:rPr>
              <w:t>occuring</w:t>
            </w:r>
            <w:proofErr w:type="spellEnd"/>
            <w:r w:rsidRPr="002208A3">
              <w:rPr>
                <w:rFonts w:ascii="Times New Roman" w:hAnsi="Times New Roman"/>
                <w:sz w:val="20"/>
                <w:szCs w:val="20"/>
              </w:rPr>
              <w:t xml:space="preserve"> and losing an additional </w:t>
            </w:r>
            <w:r w:rsidRPr="002208A3">
              <w:rPr>
                <w:rFonts w:ascii="Times New Roman" w:hAnsi="Times New Roman"/>
                <w:b/>
                <w:bCs/>
                <w:sz w:val="20"/>
                <w:szCs w:val="20"/>
              </w:rPr>
              <w:t>40,000 Rp</w:t>
            </w:r>
            <w:r w:rsidRPr="002208A3">
              <w:rPr>
                <w:rFonts w:ascii="Times New Roman" w:hAnsi="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14:paraId="68FA0D5F" w14:textId="77777777" w:rsidR="00934A7E" w:rsidRPr="002208A3" w:rsidRDefault="00934A7E" w:rsidP="00FA1B8E">
            <w:pPr>
              <w:spacing w:line="480" w:lineRule="auto"/>
              <w:rPr>
                <w:rFonts w:ascii="Times New Roman" w:hAnsi="Times New Roman"/>
                <w:sz w:val="20"/>
                <w:szCs w:val="20"/>
              </w:rPr>
            </w:pPr>
            <w:r w:rsidRPr="002208A3">
              <w:rPr>
                <w:rFonts w:ascii="Times New Roman" w:hAnsi="Times New Roman"/>
                <w:sz w:val="20"/>
                <w:szCs w:val="20"/>
              </w:rPr>
              <w:t xml:space="preserve">- You have a 4% chance of groundwater contamination occurring and losing </w:t>
            </w:r>
            <w:r w:rsidRPr="002208A3">
              <w:rPr>
                <w:rFonts w:ascii="Times New Roman" w:hAnsi="Times New Roman"/>
                <w:b/>
                <w:bCs/>
                <w:sz w:val="20"/>
                <w:szCs w:val="20"/>
              </w:rPr>
              <w:t>40,000 Rp</w:t>
            </w:r>
            <w:r w:rsidRPr="002208A3">
              <w:rPr>
                <w:rFonts w:ascii="Times New Roman" w:hAnsi="Times New Roman"/>
                <w:sz w:val="20"/>
                <w:szCs w:val="20"/>
              </w:rPr>
              <w:t xml:space="preserve"> and a 96% chance of losing </w:t>
            </w:r>
            <w:r w:rsidRPr="002208A3">
              <w:rPr>
                <w:rFonts w:ascii="Times New Roman" w:hAnsi="Times New Roman"/>
                <w:b/>
                <w:bCs/>
                <w:sz w:val="20"/>
                <w:szCs w:val="20"/>
              </w:rPr>
              <w:t>0 Rp</w:t>
            </w:r>
            <w:r w:rsidRPr="002208A3">
              <w:rPr>
                <w:rFonts w:ascii="Times New Roman" w:hAnsi="Times New Roman"/>
                <w:sz w:val="20"/>
                <w:szCs w:val="20"/>
              </w:rPr>
              <w:t>.</w:t>
            </w:r>
            <w:r w:rsidRPr="002208A3">
              <w:rPr>
                <w:rFonts w:ascii="Times New Roman" w:hAnsi="Times New Roman"/>
                <w:sz w:val="20"/>
                <w:szCs w:val="20"/>
              </w:rPr>
              <w:br/>
            </w:r>
            <w:r w:rsidRPr="002208A3">
              <w:rPr>
                <w:rFonts w:ascii="Times New Roman" w:hAnsi="Times New Roman"/>
                <w:sz w:val="20"/>
                <w:szCs w:val="20"/>
              </w:rPr>
              <w:br/>
              <w:t xml:space="preserve">- Your counterpart has a 4% chance of groundwater contamination occurring and losing </w:t>
            </w:r>
            <w:r w:rsidRPr="002208A3">
              <w:rPr>
                <w:rFonts w:ascii="Times New Roman" w:hAnsi="Times New Roman"/>
                <w:b/>
                <w:bCs/>
                <w:sz w:val="20"/>
                <w:szCs w:val="20"/>
              </w:rPr>
              <w:t>40,000 Rp</w:t>
            </w:r>
            <w:r w:rsidRPr="002208A3">
              <w:rPr>
                <w:rFonts w:ascii="Times New Roman" w:hAnsi="Times New Roman"/>
                <w:sz w:val="20"/>
                <w:szCs w:val="20"/>
              </w:rPr>
              <w:t xml:space="preserve"> and a 96% chance of losing </w:t>
            </w:r>
            <w:r w:rsidRPr="002208A3">
              <w:rPr>
                <w:rFonts w:ascii="Times New Roman" w:hAnsi="Times New Roman"/>
                <w:b/>
                <w:bCs/>
                <w:sz w:val="20"/>
                <w:szCs w:val="20"/>
              </w:rPr>
              <w:t>0 Rp</w:t>
            </w:r>
            <w:r w:rsidRPr="002208A3">
              <w:rPr>
                <w:rFonts w:ascii="Times New Roman" w:hAnsi="Times New Roman"/>
                <w:sz w:val="20"/>
                <w:szCs w:val="20"/>
              </w:rPr>
              <w:t>.</w:t>
            </w:r>
          </w:p>
        </w:tc>
      </w:tr>
    </w:tbl>
    <w:p w14:paraId="272E17AD" w14:textId="42B23FAF" w:rsidR="009B1D52" w:rsidRDefault="009B1D52" w:rsidP="00511D2D">
      <w:pPr>
        <w:spacing w:line="480" w:lineRule="auto"/>
        <w:rPr>
          <w:rFonts w:ascii="Times New Roman" w:hAnsi="Times New Roman"/>
        </w:rPr>
      </w:pPr>
    </w:p>
    <w:p w14:paraId="77AFBF4B" w14:textId="0645F043" w:rsidR="00934A7E" w:rsidRPr="002208A3" w:rsidRDefault="00934A7E" w:rsidP="00934A7E">
      <w:pPr>
        <w:spacing w:line="480" w:lineRule="auto"/>
        <w:ind w:firstLine="720"/>
        <w:rPr>
          <w:rFonts w:ascii="Times New Roman" w:hAnsi="Times New Roman"/>
        </w:rPr>
      </w:pPr>
      <w:r>
        <w:rPr>
          <w:rFonts w:ascii="Times New Roman" w:hAnsi="Times New Roman"/>
        </w:rPr>
        <w:t xml:space="preserve">To better understand the </w:t>
      </w:r>
      <w:r w:rsidR="009033F7">
        <w:rPr>
          <w:rFonts w:ascii="Times New Roman" w:hAnsi="Times New Roman"/>
        </w:rPr>
        <w:t xml:space="preserve">SPD shown in Table 1 and isolate the effects of risk from other factors (such as loss framing), we contrast it with an equivalent, deterministic payoff structure. </w:t>
      </w:r>
      <w:r>
        <w:rPr>
          <w:rFonts w:ascii="Times New Roman" w:hAnsi="Times New Roman"/>
        </w:rPr>
        <w:t xml:space="preserve">Table 2 shows the </w:t>
      </w:r>
      <w:r w:rsidR="009033F7">
        <w:rPr>
          <w:rFonts w:ascii="Times New Roman" w:hAnsi="Times New Roman"/>
        </w:rPr>
        <w:t>deterministic prisoners dilemma (</w:t>
      </w:r>
      <w:r>
        <w:rPr>
          <w:rFonts w:ascii="Times New Roman" w:hAnsi="Times New Roman"/>
        </w:rPr>
        <w:t>DPD</w:t>
      </w:r>
      <w:r w:rsidR="009033F7">
        <w:rPr>
          <w:rFonts w:ascii="Times New Roman" w:hAnsi="Times New Roman"/>
        </w:rPr>
        <w:t>)</w:t>
      </w:r>
      <w:r>
        <w:rPr>
          <w:rFonts w:ascii="Times New Roman" w:hAnsi="Times New Roman"/>
        </w:rPr>
        <w:t xml:space="preserve"> used in the </w:t>
      </w:r>
      <w:r>
        <w:rPr>
          <w:rFonts w:ascii="Times New Roman" w:hAnsi="Times New Roman"/>
        </w:rPr>
        <w:lastRenderedPageBreak/>
        <w:t xml:space="preserve">current research, with losses equivalent to the expected value of the payoffs of the SPD dilemma shown in Table 1. </w:t>
      </w:r>
    </w:p>
    <w:p w14:paraId="2C4A85A0" w14:textId="3A8C7378" w:rsidR="00934A7E" w:rsidRPr="002208A3" w:rsidRDefault="00934A7E" w:rsidP="00511D2D">
      <w:pPr>
        <w:rPr>
          <w:rFonts w:ascii="Times New Roman" w:hAnsi="Times New Roman"/>
          <w:i/>
        </w:rPr>
      </w:pPr>
      <w:r>
        <w:rPr>
          <w:rFonts w:ascii="Times New Roman" w:hAnsi="Times New Roman"/>
          <w:i/>
        </w:rPr>
        <w:t>Table 2</w:t>
      </w:r>
      <w:r w:rsidRPr="002208A3">
        <w:rPr>
          <w:rFonts w:ascii="Times New Roman" w:hAnsi="Times New Roman"/>
          <w:i/>
        </w:rPr>
        <w:t xml:space="preserve">: Payoff matrix in </w:t>
      </w:r>
      <w:r w:rsidR="00324031">
        <w:rPr>
          <w:rFonts w:ascii="Times New Roman" w:hAnsi="Times New Roman"/>
          <w:i/>
        </w:rPr>
        <w:t>a</w:t>
      </w:r>
      <w:r w:rsidRPr="002208A3">
        <w:rPr>
          <w:rFonts w:ascii="Times New Roman" w:hAnsi="Times New Roman"/>
          <w:i/>
        </w:rPr>
        <w:t xml:space="preserve"> deterministic prisoner's dilemma (DPD)</w:t>
      </w:r>
      <w:r>
        <w:rPr>
          <w:rFonts w:ascii="Times New Roman" w:hAnsi="Times New Roman"/>
          <w:i/>
        </w:rPr>
        <w:t xml:space="preserve">. </w:t>
      </w:r>
      <w:r w:rsidR="0090281E">
        <w:rPr>
          <w:rFonts w:ascii="Times New Roman" w:hAnsi="Times New Roman"/>
          <w:i/>
        </w:rPr>
        <w:t xml:space="preserve">The scenario employs a financial cover story of two investors making decisions.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000" w:firstRow="0" w:lastRow="0" w:firstColumn="0" w:lastColumn="0" w:noHBand="0" w:noVBand="0"/>
      </w:tblPr>
      <w:tblGrid>
        <w:gridCol w:w="720"/>
        <w:gridCol w:w="1533"/>
        <w:gridCol w:w="3154"/>
        <w:gridCol w:w="3169"/>
      </w:tblGrid>
      <w:tr w:rsidR="00934A7E" w:rsidRPr="002208A3" w14:paraId="75537725" w14:textId="77777777" w:rsidTr="00FA1B8E">
        <w:trPr>
          <w:tblCellSpacing w:w="15"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tcPr>
          <w:p w14:paraId="41F51BD3" w14:textId="77777777" w:rsidR="00934A7E" w:rsidRPr="002208A3" w:rsidRDefault="00934A7E" w:rsidP="00FA1B8E">
            <w:pPr>
              <w:spacing w:line="480" w:lineRule="auto"/>
              <w:rPr>
                <w:rFonts w:ascii="Times New Roman" w:hAnsi="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339392D" w14:textId="77777777" w:rsidR="00934A7E" w:rsidRPr="002208A3" w:rsidRDefault="00934A7E" w:rsidP="00FA1B8E">
            <w:pPr>
              <w:spacing w:line="480" w:lineRule="auto"/>
              <w:jc w:val="center"/>
              <w:rPr>
                <w:rFonts w:ascii="Times New Roman" w:hAnsi="Times New Roman"/>
                <w:sz w:val="20"/>
                <w:szCs w:val="20"/>
              </w:rPr>
            </w:pPr>
            <w:r w:rsidRPr="002208A3">
              <w:rPr>
                <w:rFonts w:ascii="Times New Roman" w:hAnsi="Times New Roman"/>
                <w:sz w:val="20"/>
                <w:szCs w:val="20"/>
              </w:rPr>
              <w:t>Your Counterpart</w:t>
            </w:r>
          </w:p>
        </w:tc>
      </w:tr>
      <w:tr w:rsidR="00934A7E" w:rsidRPr="002208A3" w14:paraId="1CCE7B9E" w14:textId="77777777" w:rsidTr="00FA1B8E">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tcPr>
          <w:p w14:paraId="1E0EB3C4" w14:textId="77777777" w:rsidR="00934A7E" w:rsidRPr="002208A3" w:rsidRDefault="00934A7E" w:rsidP="00FA1B8E">
            <w:pPr>
              <w:spacing w:line="480" w:lineRule="auto"/>
              <w:rPr>
                <w:rFonts w:ascii="Times New Roman" w:hAnsi="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35131A47" w14:textId="77777777" w:rsidR="00934A7E" w:rsidRPr="002208A3" w:rsidRDefault="00934A7E" w:rsidP="00FA1B8E">
            <w:pPr>
              <w:spacing w:line="480" w:lineRule="auto"/>
              <w:jc w:val="center"/>
              <w:rPr>
                <w:rFonts w:ascii="Times New Roman" w:hAnsi="Times New Roman"/>
                <w:sz w:val="20"/>
                <w:szCs w:val="20"/>
              </w:rPr>
            </w:pPr>
            <w:r w:rsidRPr="002208A3">
              <w:rPr>
                <w:rFonts w:ascii="Times New Roman" w:hAnsi="Times New Roman"/>
                <w:sz w:val="20"/>
                <w:szCs w:val="20"/>
              </w:rPr>
              <w:t>INVEST</w:t>
            </w:r>
          </w:p>
        </w:tc>
        <w:tc>
          <w:tcPr>
            <w:tcW w:w="0" w:type="auto"/>
            <w:tcBorders>
              <w:top w:val="outset" w:sz="6" w:space="0" w:color="auto"/>
              <w:left w:val="outset" w:sz="6" w:space="0" w:color="auto"/>
              <w:bottom w:val="outset" w:sz="6" w:space="0" w:color="auto"/>
              <w:right w:val="outset" w:sz="6" w:space="0" w:color="auto"/>
            </w:tcBorders>
            <w:vAlign w:val="center"/>
          </w:tcPr>
          <w:p w14:paraId="38E3F8D9" w14:textId="77777777" w:rsidR="00934A7E" w:rsidRPr="002208A3" w:rsidRDefault="00934A7E" w:rsidP="00FA1B8E">
            <w:pPr>
              <w:spacing w:line="480" w:lineRule="auto"/>
              <w:jc w:val="center"/>
              <w:rPr>
                <w:rFonts w:ascii="Times New Roman" w:hAnsi="Times New Roman"/>
                <w:sz w:val="20"/>
                <w:szCs w:val="20"/>
              </w:rPr>
            </w:pPr>
            <w:r w:rsidRPr="002208A3">
              <w:rPr>
                <w:rFonts w:ascii="Times New Roman" w:hAnsi="Times New Roman"/>
                <w:sz w:val="20"/>
                <w:szCs w:val="20"/>
              </w:rPr>
              <w:t>NOT INVEST</w:t>
            </w:r>
          </w:p>
        </w:tc>
      </w:tr>
      <w:tr w:rsidR="00934A7E" w:rsidRPr="002208A3" w14:paraId="26EB6224" w14:textId="77777777" w:rsidTr="00FA1B8E">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38692D9F" w14:textId="77777777" w:rsidR="00934A7E" w:rsidRPr="002208A3" w:rsidRDefault="00934A7E" w:rsidP="00FA1B8E">
            <w:pPr>
              <w:spacing w:line="480" w:lineRule="auto"/>
              <w:rPr>
                <w:rFonts w:ascii="Times New Roman" w:hAnsi="Times New Roman"/>
                <w:sz w:val="20"/>
                <w:szCs w:val="20"/>
              </w:rPr>
            </w:pPr>
            <w:r w:rsidRPr="002208A3">
              <w:rPr>
                <w:rFonts w:ascii="Times New Roman" w:hAnsi="Times New Roman"/>
                <w:sz w:val="20"/>
                <w:szCs w:val="20"/>
              </w:rPr>
              <w:t>You</w:t>
            </w:r>
          </w:p>
        </w:tc>
        <w:tc>
          <w:tcPr>
            <w:tcW w:w="0" w:type="auto"/>
            <w:tcBorders>
              <w:top w:val="outset" w:sz="6" w:space="0" w:color="auto"/>
              <w:left w:val="outset" w:sz="6" w:space="0" w:color="auto"/>
              <w:bottom w:val="outset" w:sz="6" w:space="0" w:color="auto"/>
              <w:right w:val="outset" w:sz="6" w:space="0" w:color="auto"/>
            </w:tcBorders>
            <w:vAlign w:val="center"/>
          </w:tcPr>
          <w:p w14:paraId="360802B5" w14:textId="77777777" w:rsidR="00934A7E" w:rsidRPr="002208A3" w:rsidRDefault="00934A7E" w:rsidP="00FA1B8E">
            <w:pPr>
              <w:spacing w:line="480" w:lineRule="auto"/>
              <w:rPr>
                <w:rFonts w:ascii="Times New Roman" w:hAnsi="Times New Roman"/>
                <w:sz w:val="20"/>
                <w:szCs w:val="20"/>
              </w:rPr>
            </w:pPr>
            <w:r w:rsidRPr="002208A3">
              <w:rPr>
                <w:rFonts w:ascii="Times New Roman" w:hAnsi="Times New Roman"/>
                <w:sz w:val="20"/>
                <w:szCs w:val="20"/>
              </w:rPr>
              <w:t>INVEST</w:t>
            </w:r>
          </w:p>
        </w:tc>
        <w:tc>
          <w:tcPr>
            <w:tcW w:w="0" w:type="auto"/>
            <w:tcBorders>
              <w:top w:val="outset" w:sz="6" w:space="0" w:color="auto"/>
              <w:left w:val="outset" w:sz="6" w:space="0" w:color="auto"/>
              <w:bottom w:val="outset" w:sz="6" w:space="0" w:color="auto"/>
              <w:right w:val="outset" w:sz="6" w:space="0" w:color="auto"/>
            </w:tcBorders>
            <w:vAlign w:val="center"/>
          </w:tcPr>
          <w:p w14:paraId="6C5C9A57" w14:textId="77777777" w:rsidR="00934A7E" w:rsidRPr="002208A3" w:rsidRDefault="00934A7E" w:rsidP="00FA1B8E">
            <w:pPr>
              <w:spacing w:line="480" w:lineRule="auto"/>
              <w:rPr>
                <w:rFonts w:ascii="Times New Roman" w:hAnsi="Times New Roman"/>
                <w:sz w:val="20"/>
                <w:szCs w:val="20"/>
              </w:rPr>
            </w:pPr>
            <w:r w:rsidRPr="002208A3">
              <w:rPr>
                <w:rFonts w:ascii="Times New Roman" w:hAnsi="Times New Roman"/>
                <w:sz w:val="20"/>
                <w:szCs w:val="20"/>
              </w:rPr>
              <w:t xml:space="preserve">- You lose </w:t>
            </w:r>
            <w:r w:rsidRPr="002208A3">
              <w:rPr>
                <w:rFonts w:ascii="Times New Roman" w:hAnsi="Times New Roman"/>
                <w:b/>
                <w:bCs/>
                <w:sz w:val="20"/>
                <w:szCs w:val="20"/>
              </w:rPr>
              <w:t>1,400 Rp</w:t>
            </w:r>
            <w:r w:rsidRPr="002208A3">
              <w:rPr>
                <w:rFonts w:ascii="Times New Roman" w:hAnsi="Times New Roman"/>
                <w:sz w:val="20"/>
                <w:szCs w:val="20"/>
              </w:rPr>
              <w:t>.</w:t>
            </w:r>
            <w:r w:rsidRPr="002208A3">
              <w:rPr>
                <w:rFonts w:ascii="Times New Roman" w:hAnsi="Times New Roman"/>
                <w:sz w:val="20"/>
                <w:szCs w:val="20"/>
              </w:rPr>
              <w:br/>
            </w:r>
            <w:r w:rsidRPr="002208A3">
              <w:rPr>
                <w:rFonts w:ascii="Times New Roman" w:hAnsi="Times New Roman"/>
                <w:sz w:val="20"/>
                <w:szCs w:val="20"/>
              </w:rPr>
              <w:br/>
              <w:t xml:space="preserve">- Your counterpart loses </w:t>
            </w:r>
            <w:r w:rsidRPr="002208A3">
              <w:rPr>
                <w:rFonts w:ascii="Times New Roman" w:hAnsi="Times New Roman"/>
                <w:b/>
                <w:bCs/>
                <w:sz w:val="20"/>
                <w:szCs w:val="20"/>
              </w:rPr>
              <w:t>1,400 Rp</w:t>
            </w:r>
            <w:r w:rsidRPr="002208A3">
              <w:rPr>
                <w:rFonts w:ascii="Times New Roman" w:hAnsi="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14:paraId="3799EB79" w14:textId="77777777" w:rsidR="00934A7E" w:rsidRPr="002208A3" w:rsidRDefault="00934A7E" w:rsidP="00FA1B8E">
            <w:pPr>
              <w:spacing w:line="480" w:lineRule="auto"/>
              <w:rPr>
                <w:rFonts w:ascii="Times New Roman" w:hAnsi="Times New Roman"/>
                <w:sz w:val="20"/>
                <w:szCs w:val="20"/>
              </w:rPr>
            </w:pPr>
            <w:r w:rsidRPr="002208A3">
              <w:rPr>
                <w:rFonts w:ascii="Times New Roman" w:hAnsi="Times New Roman"/>
                <w:sz w:val="20"/>
                <w:szCs w:val="20"/>
              </w:rPr>
              <w:t xml:space="preserve">- You lose </w:t>
            </w:r>
            <w:r w:rsidRPr="002208A3">
              <w:rPr>
                <w:rFonts w:ascii="Times New Roman" w:hAnsi="Times New Roman"/>
                <w:b/>
                <w:bCs/>
                <w:sz w:val="20"/>
                <w:szCs w:val="20"/>
              </w:rPr>
              <w:t>1,800 Rp</w:t>
            </w:r>
            <w:r w:rsidRPr="002208A3">
              <w:rPr>
                <w:rFonts w:ascii="Times New Roman" w:hAnsi="Times New Roman"/>
                <w:sz w:val="20"/>
                <w:szCs w:val="20"/>
              </w:rPr>
              <w:t>.</w:t>
            </w:r>
            <w:r w:rsidRPr="002208A3">
              <w:rPr>
                <w:rFonts w:ascii="Times New Roman" w:hAnsi="Times New Roman"/>
                <w:sz w:val="20"/>
                <w:szCs w:val="20"/>
              </w:rPr>
              <w:br/>
            </w:r>
            <w:r w:rsidRPr="002208A3">
              <w:rPr>
                <w:rFonts w:ascii="Times New Roman" w:hAnsi="Times New Roman"/>
                <w:sz w:val="20"/>
                <w:szCs w:val="20"/>
              </w:rPr>
              <w:br/>
              <w:t xml:space="preserve">- Your counterpart loses </w:t>
            </w:r>
            <w:r w:rsidRPr="002208A3">
              <w:rPr>
                <w:rFonts w:ascii="Times New Roman" w:hAnsi="Times New Roman"/>
                <w:b/>
                <w:bCs/>
                <w:sz w:val="20"/>
                <w:szCs w:val="20"/>
              </w:rPr>
              <w:t>1,200 Rp</w:t>
            </w:r>
            <w:r w:rsidRPr="002208A3">
              <w:rPr>
                <w:rFonts w:ascii="Times New Roman" w:hAnsi="Times New Roman"/>
                <w:sz w:val="20"/>
                <w:szCs w:val="20"/>
              </w:rPr>
              <w:t>.</w:t>
            </w:r>
          </w:p>
        </w:tc>
      </w:tr>
      <w:tr w:rsidR="00934A7E" w:rsidRPr="002208A3" w14:paraId="75BA70B1" w14:textId="77777777" w:rsidTr="00FA1B8E">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2F20C91C" w14:textId="77777777" w:rsidR="00934A7E" w:rsidRPr="002208A3" w:rsidRDefault="00934A7E" w:rsidP="00FA1B8E">
            <w:pPr>
              <w:spacing w:line="480" w:lineRule="auto"/>
              <w:rPr>
                <w:rFonts w:ascii="Times New Roman" w:hAnsi="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17CFFC55" w14:textId="77777777" w:rsidR="00934A7E" w:rsidRPr="002208A3" w:rsidRDefault="00934A7E" w:rsidP="00FA1B8E">
            <w:pPr>
              <w:spacing w:line="480" w:lineRule="auto"/>
              <w:rPr>
                <w:rFonts w:ascii="Times New Roman" w:hAnsi="Times New Roman"/>
                <w:sz w:val="20"/>
                <w:szCs w:val="20"/>
              </w:rPr>
            </w:pPr>
            <w:r w:rsidRPr="002208A3">
              <w:rPr>
                <w:rFonts w:ascii="Times New Roman" w:hAnsi="Times New Roman"/>
                <w:sz w:val="20"/>
                <w:szCs w:val="20"/>
              </w:rPr>
              <w:t>NOT INVEST</w:t>
            </w:r>
          </w:p>
        </w:tc>
        <w:tc>
          <w:tcPr>
            <w:tcW w:w="0" w:type="auto"/>
            <w:tcBorders>
              <w:top w:val="outset" w:sz="6" w:space="0" w:color="auto"/>
              <w:left w:val="outset" w:sz="6" w:space="0" w:color="auto"/>
              <w:bottom w:val="outset" w:sz="6" w:space="0" w:color="auto"/>
              <w:right w:val="outset" w:sz="6" w:space="0" w:color="auto"/>
            </w:tcBorders>
            <w:vAlign w:val="center"/>
          </w:tcPr>
          <w:p w14:paraId="21101575" w14:textId="77777777" w:rsidR="00934A7E" w:rsidRPr="002208A3" w:rsidRDefault="00934A7E" w:rsidP="00FA1B8E">
            <w:pPr>
              <w:spacing w:line="480" w:lineRule="auto"/>
              <w:rPr>
                <w:rFonts w:ascii="Times New Roman" w:hAnsi="Times New Roman"/>
                <w:sz w:val="20"/>
                <w:szCs w:val="20"/>
              </w:rPr>
            </w:pPr>
            <w:r w:rsidRPr="002208A3">
              <w:rPr>
                <w:rFonts w:ascii="Times New Roman" w:hAnsi="Times New Roman"/>
                <w:sz w:val="20"/>
                <w:szCs w:val="20"/>
              </w:rPr>
              <w:t xml:space="preserve">- You lose </w:t>
            </w:r>
            <w:r w:rsidRPr="002208A3">
              <w:rPr>
                <w:rFonts w:ascii="Times New Roman" w:hAnsi="Times New Roman"/>
                <w:b/>
                <w:bCs/>
                <w:sz w:val="20"/>
                <w:szCs w:val="20"/>
              </w:rPr>
              <w:t>1,200 Rp</w:t>
            </w:r>
            <w:r w:rsidRPr="002208A3">
              <w:rPr>
                <w:rFonts w:ascii="Times New Roman" w:hAnsi="Times New Roman"/>
                <w:sz w:val="20"/>
                <w:szCs w:val="20"/>
              </w:rPr>
              <w:t>.</w:t>
            </w:r>
            <w:r w:rsidRPr="002208A3">
              <w:rPr>
                <w:rFonts w:ascii="Times New Roman" w:hAnsi="Times New Roman"/>
                <w:sz w:val="20"/>
                <w:szCs w:val="20"/>
              </w:rPr>
              <w:br/>
            </w:r>
            <w:r w:rsidRPr="002208A3">
              <w:rPr>
                <w:rFonts w:ascii="Times New Roman" w:hAnsi="Times New Roman"/>
                <w:sz w:val="20"/>
                <w:szCs w:val="20"/>
              </w:rPr>
              <w:br/>
              <w:t xml:space="preserve">- Your counterpart loses </w:t>
            </w:r>
            <w:r w:rsidRPr="002208A3">
              <w:rPr>
                <w:rFonts w:ascii="Times New Roman" w:hAnsi="Times New Roman"/>
                <w:b/>
                <w:bCs/>
                <w:sz w:val="20"/>
                <w:szCs w:val="20"/>
              </w:rPr>
              <w:t>1,800 Rp</w:t>
            </w:r>
            <w:r w:rsidRPr="002208A3">
              <w:rPr>
                <w:rFonts w:ascii="Times New Roman" w:hAnsi="Times New Roman"/>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14:paraId="0113F569" w14:textId="77777777" w:rsidR="00934A7E" w:rsidRPr="002208A3" w:rsidRDefault="00934A7E" w:rsidP="00FA1B8E">
            <w:pPr>
              <w:spacing w:line="480" w:lineRule="auto"/>
              <w:rPr>
                <w:rFonts w:ascii="Times New Roman" w:hAnsi="Times New Roman"/>
                <w:sz w:val="20"/>
                <w:szCs w:val="20"/>
              </w:rPr>
            </w:pPr>
            <w:r w:rsidRPr="002208A3">
              <w:rPr>
                <w:rFonts w:ascii="Times New Roman" w:hAnsi="Times New Roman"/>
                <w:sz w:val="20"/>
                <w:szCs w:val="20"/>
              </w:rPr>
              <w:t xml:space="preserve">- You lose </w:t>
            </w:r>
            <w:r w:rsidRPr="002208A3">
              <w:rPr>
                <w:rFonts w:ascii="Times New Roman" w:hAnsi="Times New Roman"/>
                <w:b/>
                <w:bCs/>
                <w:sz w:val="20"/>
                <w:szCs w:val="20"/>
              </w:rPr>
              <w:t>1,600 Rp</w:t>
            </w:r>
            <w:r w:rsidRPr="002208A3">
              <w:rPr>
                <w:rFonts w:ascii="Times New Roman" w:hAnsi="Times New Roman"/>
                <w:sz w:val="20"/>
                <w:szCs w:val="20"/>
              </w:rPr>
              <w:t>.</w:t>
            </w:r>
            <w:r w:rsidRPr="002208A3">
              <w:rPr>
                <w:rFonts w:ascii="Times New Roman" w:hAnsi="Times New Roman"/>
                <w:sz w:val="20"/>
                <w:szCs w:val="20"/>
              </w:rPr>
              <w:br/>
            </w:r>
            <w:r w:rsidRPr="002208A3">
              <w:rPr>
                <w:rFonts w:ascii="Times New Roman" w:hAnsi="Times New Roman"/>
                <w:sz w:val="20"/>
                <w:szCs w:val="20"/>
              </w:rPr>
              <w:br/>
              <w:t xml:space="preserve">- Your counterpart loses </w:t>
            </w:r>
            <w:r w:rsidRPr="002208A3">
              <w:rPr>
                <w:rFonts w:ascii="Times New Roman" w:hAnsi="Times New Roman"/>
                <w:b/>
                <w:bCs/>
                <w:sz w:val="20"/>
                <w:szCs w:val="20"/>
              </w:rPr>
              <w:t>1,600 Rp</w:t>
            </w:r>
            <w:r w:rsidRPr="002208A3">
              <w:rPr>
                <w:rFonts w:ascii="Times New Roman" w:hAnsi="Times New Roman"/>
                <w:sz w:val="20"/>
                <w:szCs w:val="20"/>
              </w:rPr>
              <w:t>.</w:t>
            </w:r>
          </w:p>
        </w:tc>
      </w:tr>
    </w:tbl>
    <w:p w14:paraId="311ECF26" w14:textId="77777777" w:rsidR="00934A7E" w:rsidRDefault="00934A7E" w:rsidP="003E1DB5">
      <w:pPr>
        <w:spacing w:line="480" w:lineRule="auto"/>
        <w:rPr>
          <w:rFonts w:ascii="Times New Roman" w:hAnsi="Times New Roman"/>
          <w:b/>
          <w:bCs/>
        </w:rPr>
      </w:pPr>
    </w:p>
    <w:p w14:paraId="4B41F1D8" w14:textId="6D8B9E48" w:rsidR="009B1D52" w:rsidRPr="003E1DB5" w:rsidRDefault="009B1D52" w:rsidP="003E1DB5">
      <w:pPr>
        <w:spacing w:line="480" w:lineRule="auto"/>
        <w:rPr>
          <w:rFonts w:ascii="Times New Roman" w:hAnsi="Times New Roman"/>
          <w:b/>
          <w:bCs/>
        </w:rPr>
      </w:pPr>
      <w:r w:rsidRPr="003E1DB5">
        <w:rPr>
          <w:rFonts w:ascii="Times New Roman" w:hAnsi="Times New Roman"/>
          <w:b/>
          <w:bCs/>
        </w:rPr>
        <w:t xml:space="preserve">Previous Research on </w:t>
      </w:r>
      <w:r>
        <w:rPr>
          <w:rFonts w:ascii="Times New Roman" w:hAnsi="Times New Roman"/>
          <w:b/>
          <w:bCs/>
        </w:rPr>
        <w:t xml:space="preserve">Outcome </w:t>
      </w:r>
      <w:r w:rsidR="00B84EE6">
        <w:rPr>
          <w:rFonts w:ascii="Times New Roman" w:hAnsi="Times New Roman"/>
          <w:b/>
          <w:bCs/>
        </w:rPr>
        <w:t xml:space="preserve">Risk </w:t>
      </w:r>
      <w:r>
        <w:rPr>
          <w:rFonts w:ascii="Times New Roman" w:hAnsi="Times New Roman"/>
          <w:b/>
          <w:bCs/>
        </w:rPr>
        <w:t>in Social Dilemmas</w:t>
      </w:r>
    </w:p>
    <w:p w14:paraId="31FAC33B" w14:textId="53604CFC" w:rsidR="00B03A84" w:rsidRDefault="004573FA" w:rsidP="00934A7E">
      <w:pPr>
        <w:spacing w:line="480" w:lineRule="auto"/>
        <w:ind w:firstLine="720"/>
        <w:rPr>
          <w:rFonts w:ascii="Times New Roman" w:hAnsi="Times New Roman"/>
        </w:rPr>
      </w:pPr>
      <w:r>
        <w:rPr>
          <w:rFonts w:ascii="Times New Roman" w:hAnsi="Times New Roman"/>
        </w:rPr>
        <w:t xml:space="preserve">We build on </w:t>
      </w:r>
      <w:r w:rsidR="007439AE">
        <w:rPr>
          <w:rFonts w:ascii="Times New Roman" w:hAnsi="Times New Roman"/>
        </w:rPr>
        <w:t>the</w:t>
      </w:r>
      <w:r w:rsidR="004C00A5" w:rsidRPr="002208A3">
        <w:rPr>
          <w:rFonts w:ascii="Times New Roman" w:hAnsi="Times New Roman"/>
        </w:rPr>
        <w:t xml:space="preserve"> literature on interdependent security </w:t>
      </w:r>
      <w:r w:rsidR="00D6304B">
        <w:rPr>
          <w:rFonts w:ascii="Times New Roman" w:hAnsi="Times New Roman"/>
        </w:rPr>
        <w:t>dilemmas</w:t>
      </w:r>
      <w:r w:rsidR="009033F7">
        <w:rPr>
          <w:rFonts w:ascii="Times New Roman" w:hAnsi="Times New Roman"/>
        </w:rPr>
        <w:t>, which</w:t>
      </w:r>
      <w:r w:rsidR="009033F7" w:rsidRPr="002208A3">
        <w:rPr>
          <w:rFonts w:ascii="Times New Roman" w:hAnsi="Times New Roman"/>
        </w:rPr>
        <w:t xml:space="preserve"> </w:t>
      </w:r>
      <w:r w:rsidR="004C00A5" w:rsidRPr="002208A3">
        <w:rPr>
          <w:rFonts w:ascii="Times New Roman" w:hAnsi="Times New Roman"/>
        </w:rPr>
        <w:t>explor</w:t>
      </w:r>
      <w:r w:rsidR="009033F7">
        <w:rPr>
          <w:rFonts w:ascii="Times New Roman" w:hAnsi="Times New Roman"/>
        </w:rPr>
        <w:t>e</w:t>
      </w:r>
      <w:r w:rsidR="004C00A5" w:rsidRPr="002208A3">
        <w:rPr>
          <w:rFonts w:ascii="Times New Roman" w:hAnsi="Times New Roman"/>
        </w:rPr>
        <w:t xml:space="preserve"> the </w:t>
      </w:r>
      <w:r w:rsidR="0019332A" w:rsidRPr="002208A3">
        <w:rPr>
          <w:rFonts w:ascii="Times New Roman" w:hAnsi="Times New Roman"/>
        </w:rPr>
        <w:t xml:space="preserve">effects of outcome </w:t>
      </w:r>
      <w:r w:rsidR="00CF215C">
        <w:rPr>
          <w:rFonts w:ascii="Times New Roman" w:hAnsi="Times New Roman"/>
        </w:rPr>
        <w:t>risk</w:t>
      </w:r>
      <w:r w:rsidR="00CF215C" w:rsidRPr="002208A3">
        <w:rPr>
          <w:rFonts w:ascii="Times New Roman" w:hAnsi="Times New Roman"/>
        </w:rPr>
        <w:t xml:space="preserve"> </w:t>
      </w:r>
      <w:r w:rsidR="0019332A" w:rsidRPr="002208A3">
        <w:rPr>
          <w:rFonts w:ascii="Times New Roman" w:hAnsi="Times New Roman"/>
        </w:rPr>
        <w:t>on cooperation</w:t>
      </w:r>
      <w:r w:rsidR="00FF1A4D">
        <w:rPr>
          <w:rFonts w:ascii="Times New Roman" w:hAnsi="Times New Roman"/>
        </w:rPr>
        <w:t xml:space="preserve"> </w:t>
      </w:r>
      <w:r w:rsidR="00FF1A4D">
        <w:rPr>
          <w:rFonts w:ascii="Times New Roman" w:hAnsi="Times New Roman"/>
        </w:rPr>
        <w:fldChar w:fldCharType="begin" w:fldLock="1"/>
      </w:r>
      <w:r w:rsidR="005B1C17">
        <w:rPr>
          <w:rFonts w:ascii="Times New Roman" w:hAnsi="Times New Roman"/>
        </w:rPr>
        <w:instrText>ADDIN CSL_CITATION {"citationItems":[{"id":"ITEM-1","itemData":{"ISSN":"0022-0027","author":[{"dropping-particle":"","family":"Heal","given":"Geoffrey","non-dropping-particle":"","parse-names":false,"suffix":""},{"dropping-particle":"","family":"Kunreuther","given":"Howard","non-dropping-particle":"","parse-names":false,"suffix":""}],"container-title":"Journal of conflict resolution","id":"ITEM-1","issue":"2","issued":{"date-parts":[["2005"]]},"page":"201-217","publisher":"Sage Publications Sage CA: Thousand Oaks, CA","title":"IDS models of airline security","type":"article-journal","volume":"49"},"uris":["http://www.mendeley.com/documents/?uuid=249e5412-5a15-43f8-b9a5-c76f73be2c29"]}],"mendeley":{"formattedCitation":"(Heal &amp; Kunreuther, 2005)","plainTextFormattedCitation":"(Heal &amp; Kunreuther, 2005)","previouslyFormattedCitation":"(Heal and Kunreuther 2005)"},"properties":{"noteIndex":0},"schema":"https://github.com/citation-style-language/schema/raw/master/csl-citation.json"}</w:instrText>
      </w:r>
      <w:r w:rsidR="00FF1A4D">
        <w:rPr>
          <w:rFonts w:ascii="Times New Roman" w:hAnsi="Times New Roman"/>
        </w:rPr>
        <w:fldChar w:fldCharType="separate"/>
      </w:r>
      <w:r w:rsidR="005B1C17" w:rsidRPr="005B1C17">
        <w:rPr>
          <w:rFonts w:ascii="Times New Roman" w:hAnsi="Times New Roman"/>
          <w:noProof/>
        </w:rPr>
        <w:t>(Heal &amp; Kunreuther, 2005)</w:t>
      </w:r>
      <w:r w:rsidR="00FF1A4D">
        <w:rPr>
          <w:rFonts w:ascii="Times New Roman" w:hAnsi="Times New Roman"/>
        </w:rPr>
        <w:fldChar w:fldCharType="end"/>
      </w:r>
      <w:r w:rsidR="006A5849" w:rsidRPr="002208A3">
        <w:rPr>
          <w:rFonts w:ascii="Times New Roman" w:hAnsi="Times New Roman"/>
        </w:rPr>
        <w:t xml:space="preserve">, particularly in cases of </w:t>
      </w:r>
      <w:r w:rsidR="00C15CA3">
        <w:rPr>
          <w:rFonts w:ascii="Times New Roman" w:hAnsi="Times New Roman"/>
        </w:rPr>
        <w:t>low probability,</w:t>
      </w:r>
      <w:r w:rsidR="00C15CA3" w:rsidRPr="002208A3">
        <w:rPr>
          <w:rFonts w:ascii="Times New Roman" w:hAnsi="Times New Roman"/>
        </w:rPr>
        <w:t xml:space="preserve"> </w:t>
      </w:r>
      <w:r w:rsidR="006A5849" w:rsidRPr="002208A3">
        <w:rPr>
          <w:rFonts w:ascii="Times New Roman" w:hAnsi="Times New Roman"/>
        </w:rPr>
        <w:t>catastrophic loss</w:t>
      </w:r>
      <w:r w:rsidR="0019332A" w:rsidRPr="002208A3">
        <w:rPr>
          <w:rFonts w:ascii="Times New Roman" w:hAnsi="Times New Roman"/>
        </w:rPr>
        <w:t xml:space="preserve">. </w:t>
      </w:r>
      <w:r>
        <w:rPr>
          <w:rFonts w:ascii="Times New Roman" w:hAnsi="Times New Roman"/>
        </w:rPr>
        <w:t xml:space="preserve">Real-life examples dilemmas include </w:t>
      </w:r>
      <w:r w:rsidR="00CB3C10">
        <w:rPr>
          <w:rFonts w:ascii="Times New Roman" w:hAnsi="Times New Roman"/>
        </w:rPr>
        <w:t xml:space="preserve">disease prevention, </w:t>
      </w:r>
      <w:r w:rsidRPr="004573FA">
        <w:rPr>
          <w:rFonts w:ascii="Times New Roman" w:hAnsi="Times New Roman"/>
        </w:rPr>
        <w:t>computer security, fire protection, protection against bankruptcy, and theft protection</w:t>
      </w:r>
      <w:r>
        <w:rPr>
          <w:rFonts w:ascii="Times New Roman" w:hAnsi="Times New Roman"/>
        </w:rPr>
        <w:t xml:space="preserve">. </w:t>
      </w:r>
      <w:r w:rsidR="007C0A2E" w:rsidRPr="002208A3">
        <w:rPr>
          <w:rFonts w:ascii="Times New Roman" w:hAnsi="Times New Roman"/>
        </w:rPr>
        <w:t xml:space="preserve">In </w:t>
      </w:r>
      <w:r>
        <w:rPr>
          <w:rFonts w:ascii="Times New Roman" w:hAnsi="Times New Roman"/>
        </w:rPr>
        <w:t xml:space="preserve">each </w:t>
      </w:r>
      <w:r w:rsidR="00446FD9">
        <w:rPr>
          <w:rFonts w:ascii="Times New Roman" w:hAnsi="Times New Roman"/>
        </w:rPr>
        <w:t xml:space="preserve">of </w:t>
      </w:r>
      <w:r w:rsidR="007C0A2E" w:rsidRPr="002208A3">
        <w:rPr>
          <w:rFonts w:ascii="Times New Roman" w:hAnsi="Times New Roman"/>
        </w:rPr>
        <w:t xml:space="preserve">these cases, cooperation is manifested through investing in protection measures, which have some </w:t>
      </w:r>
      <w:r w:rsidR="00935671">
        <w:rPr>
          <w:rFonts w:ascii="Times New Roman" w:hAnsi="Times New Roman"/>
        </w:rPr>
        <w:t xml:space="preserve">protective </w:t>
      </w:r>
      <w:r w:rsidR="007C0A2E" w:rsidRPr="002208A3">
        <w:rPr>
          <w:rFonts w:ascii="Times New Roman" w:hAnsi="Times New Roman"/>
        </w:rPr>
        <w:t>spillover and reduce the chance that counterparts will experience a loss</w:t>
      </w:r>
      <w:r w:rsidR="00934A7E">
        <w:rPr>
          <w:rFonts w:ascii="Times New Roman" w:hAnsi="Times New Roman"/>
        </w:rPr>
        <w:t>.</w:t>
      </w:r>
      <w:r w:rsidR="009132EC">
        <w:rPr>
          <w:rFonts w:ascii="Times New Roman" w:hAnsi="Times New Roman"/>
        </w:rPr>
        <w:t xml:space="preserve"> </w:t>
      </w:r>
      <w:r w:rsidR="00C20B16" w:rsidRPr="002208A3">
        <w:rPr>
          <w:rFonts w:ascii="Times New Roman" w:hAnsi="Times New Roman"/>
        </w:rPr>
        <w:t xml:space="preserve">Overall, </w:t>
      </w:r>
      <w:r w:rsidR="005B271E">
        <w:rPr>
          <w:rFonts w:ascii="Times New Roman" w:hAnsi="Times New Roman"/>
        </w:rPr>
        <w:t xml:space="preserve">outcome </w:t>
      </w:r>
      <w:r w:rsidR="00CF215C">
        <w:rPr>
          <w:rFonts w:ascii="Times New Roman" w:hAnsi="Times New Roman"/>
        </w:rPr>
        <w:t>risk</w:t>
      </w:r>
      <w:r w:rsidR="00CF215C" w:rsidRPr="002208A3">
        <w:rPr>
          <w:rFonts w:ascii="Times New Roman" w:hAnsi="Times New Roman"/>
        </w:rPr>
        <w:t xml:space="preserve"> </w:t>
      </w:r>
      <w:r w:rsidR="00EC3BAA" w:rsidRPr="002208A3">
        <w:rPr>
          <w:rFonts w:ascii="Times New Roman" w:hAnsi="Times New Roman"/>
        </w:rPr>
        <w:t xml:space="preserve">about losses </w:t>
      </w:r>
      <w:r w:rsidR="00C20B16" w:rsidRPr="002208A3">
        <w:rPr>
          <w:rFonts w:ascii="Times New Roman" w:hAnsi="Times New Roman"/>
        </w:rPr>
        <w:t xml:space="preserve">lowers cooperation between individuals </w:t>
      </w:r>
      <w:r w:rsidR="00EC3BAA" w:rsidRPr="002208A3">
        <w:rPr>
          <w:rFonts w:ascii="Times New Roman" w:hAnsi="Times New Roman"/>
        </w:rPr>
        <w:t xml:space="preserve">quite </w:t>
      </w:r>
      <w:r w:rsidR="007010E8" w:rsidRPr="002208A3">
        <w:rPr>
          <w:rFonts w:ascii="Times New Roman" w:hAnsi="Times New Roman"/>
        </w:rPr>
        <w:t>substantially</w:t>
      </w:r>
      <w:r w:rsidR="00EC3BAA" w:rsidRPr="002208A3">
        <w:rPr>
          <w:rFonts w:ascii="Times New Roman" w:hAnsi="Times New Roman"/>
        </w:rPr>
        <w:t xml:space="preserve">. For example, </w:t>
      </w:r>
      <w:r w:rsidR="00411148" w:rsidRPr="002208A3">
        <w:rPr>
          <w:rFonts w:ascii="Times New Roman" w:hAnsi="Times New Roman"/>
        </w:rPr>
        <w:t xml:space="preserve">while cooperation rates in a </w:t>
      </w:r>
      <w:r w:rsidR="00581EA7" w:rsidRPr="002208A3">
        <w:rPr>
          <w:rFonts w:ascii="Times New Roman" w:hAnsi="Times New Roman"/>
        </w:rPr>
        <w:t>loss-framed</w:t>
      </w:r>
      <w:r w:rsidR="00BB29FE">
        <w:rPr>
          <w:rFonts w:ascii="Times New Roman" w:hAnsi="Times New Roman"/>
        </w:rPr>
        <w:t>,</w:t>
      </w:r>
      <w:r w:rsidR="00411148" w:rsidRPr="002208A3">
        <w:rPr>
          <w:rFonts w:ascii="Times New Roman" w:hAnsi="Times New Roman"/>
        </w:rPr>
        <w:t xml:space="preserve"> </w:t>
      </w:r>
      <w:r w:rsidR="00BB29FE">
        <w:rPr>
          <w:rFonts w:ascii="Times New Roman" w:hAnsi="Times New Roman"/>
        </w:rPr>
        <w:t>repeated</w:t>
      </w:r>
      <w:r w:rsidR="00935671">
        <w:rPr>
          <w:rFonts w:ascii="Times New Roman" w:hAnsi="Times New Roman"/>
        </w:rPr>
        <w:t>, deterministic</w:t>
      </w:r>
      <w:r w:rsidR="00411148" w:rsidRPr="002208A3">
        <w:rPr>
          <w:rFonts w:ascii="Times New Roman" w:hAnsi="Times New Roman"/>
        </w:rPr>
        <w:t xml:space="preserve"> prisoner's dilemma </w:t>
      </w:r>
      <w:r w:rsidR="002D328B" w:rsidRPr="002208A3">
        <w:rPr>
          <w:rFonts w:ascii="Times New Roman" w:hAnsi="Times New Roman"/>
        </w:rPr>
        <w:t>(</w:t>
      </w:r>
      <w:r w:rsidR="00935671">
        <w:rPr>
          <w:rFonts w:ascii="Times New Roman" w:hAnsi="Times New Roman"/>
        </w:rPr>
        <w:t>D</w:t>
      </w:r>
      <w:r w:rsidR="002D328B" w:rsidRPr="002208A3">
        <w:rPr>
          <w:rFonts w:ascii="Times New Roman" w:hAnsi="Times New Roman"/>
        </w:rPr>
        <w:t xml:space="preserve">PD) </w:t>
      </w:r>
      <w:r w:rsidR="00411148" w:rsidRPr="002208A3">
        <w:rPr>
          <w:rFonts w:ascii="Times New Roman" w:hAnsi="Times New Roman"/>
        </w:rPr>
        <w:t xml:space="preserve">may hover around </w:t>
      </w:r>
      <w:r w:rsidR="00581EA7" w:rsidRPr="002208A3">
        <w:rPr>
          <w:rFonts w:ascii="Times New Roman" w:hAnsi="Times New Roman"/>
        </w:rPr>
        <w:t>60-</w:t>
      </w:r>
      <w:r w:rsidR="00581EA7" w:rsidRPr="002208A3">
        <w:rPr>
          <w:rFonts w:ascii="Times New Roman" w:hAnsi="Times New Roman"/>
        </w:rPr>
        <w:lastRenderedPageBreak/>
        <w:t>75</w:t>
      </w:r>
      <w:r w:rsidR="00411148" w:rsidRPr="002208A3">
        <w:rPr>
          <w:rFonts w:ascii="Times New Roman" w:hAnsi="Times New Roman"/>
        </w:rPr>
        <w:t xml:space="preserve">%, </w:t>
      </w:r>
      <w:r w:rsidR="00F1771A">
        <w:rPr>
          <w:rFonts w:ascii="Times New Roman" w:hAnsi="Times New Roman"/>
        </w:rPr>
        <w:t xml:space="preserve">outcome </w:t>
      </w:r>
      <w:r w:rsidR="00CF215C">
        <w:rPr>
          <w:rFonts w:ascii="Times New Roman" w:hAnsi="Times New Roman"/>
        </w:rPr>
        <w:t>risk</w:t>
      </w:r>
      <w:r w:rsidR="00CF215C" w:rsidRPr="002208A3">
        <w:rPr>
          <w:rFonts w:ascii="Times New Roman" w:hAnsi="Times New Roman"/>
        </w:rPr>
        <w:t xml:space="preserve"> </w:t>
      </w:r>
      <w:r w:rsidR="00411148" w:rsidRPr="002208A3">
        <w:rPr>
          <w:rFonts w:ascii="Times New Roman" w:hAnsi="Times New Roman"/>
        </w:rPr>
        <w:t xml:space="preserve">lowers </w:t>
      </w:r>
      <w:r w:rsidR="00935671" w:rsidRPr="002208A3">
        <w:rPr>
          <w:rFonts w:ascii="Times New Roman" w:hAnsi="Times New Roman"/>
        </w:rPr>
        <w:t>th</w:t>
      </w:r>
      <w:r w:rsidR="00935671">
        <w:rPr>
          <w:rFonts w:ascii="Times New Roman" w:hAnsi="Times New Roman"/>
        </w:rPr>
        <w:t>at</w:t>
      </w:r>
      <w:r w:rsidR="00935671" w:rsidRPr="002208A3">
        <w:rPr>
          <w:rFonts w:ascii="Times New Roman" w:hAnsi="Times New Roman"/>
        </w:rPr>
        <w:t xml:space="preserve"> </w:t>
      </w:r>
      <w:r w:rsidR="00411148" w:rsidRPr="002208A3">
        <w:rPr>
          <w:rFonts w:ascii="Times New Roman" w:hAnsi="Times New Roman"/>
        </w:rPr>
        <w:t>cooperation rate to</w:t>
      </w:r>
      <w:r w:rsidR="00B2726C" w:rsidRPr="002208A3">
        <w:rPr>
          <w:rFonts w:ascii="Times New Roman" w:hAnsi="Times New Roman"/>
        </w:rPr>
        <w:t xml:space="preserve"> around</w:t>
      </w:r>
      <w:r w:rsidR="00411148" w:rsidRPr="002208A3">
        <w:rPr>
          <w:rFonts w:ascii="Times New Roman" w:hAnsi="Times New Roman"/>
        </w:rPr>
        <w:t xml:space="preserve"> </w:t>
      </w:r>
      <w:r w:rsidR="00581EA7" w:rsidRPr="002208A3">
        <w:rPr>
          <w:rFonts w:ascii="Times New Roman" w:hAnsi="Times New Roman"/>
        </w:rPr>
        <w:t>25-40</w:t>
      </w:r>
      <w:r w:rsidR="00411148" w:rsidRPr="002208A3">
        <w:rPr>
          <w:rFonts w:ascii="Times New Roman" w:hAnsi="Times New Roman"/>
        </w:rPr>
        <w:t>%</w:t>
      </w:r>
      <w:r w:rsidR="00FF1A4D">
        <w:rPr>
          <w:rFonts w:ascii="Times New Roman" w:hAnsi="Times New Roman"/>
        </w:rPr>
        <w:t xml:space="preserve"> </w:t>
      </w:r>
      <w:r w:rsidR="00FF1A4D">
        <w:rPr>
          <w:rFonts w:ascii="Times New Roman" w:hAnsi="Times New Roman"/>
        </w:rPr>
        <w:fldChar w:fldCharType="begin" w:fldLock="1"/>
      </w:r>
      <w:r w:rsidR="005B1C17">
        <w:rPr>
          <w:rFonts w:ascii="Times New Roman" w:hAnsi="Times New Roman"/>
        </w:rPr>
        <w:instrText>ADDIN CSL_CITATION {"citationItems":[{"id":"ITEM-1","itemData":{"ISSN":"0895-5646","author":[{"dropping-particle":"","family":"Gong","given":"Min","non-dropping-particle":"","parse-names":false,"suffix":""},{"dropping-particle":"","family":"Baron","given":"Jonathan","non-dropping-particle":"","parse-names":false,"suffix":""},{"dropping-particle":"","family":"Kunreuther","given":"Howard","non-dropping-particle":"","parse-names":false,"suffix":""}],"container-title":"Journal of Risk and Uncertainty","id":"ITEM-1","issue":"3","issued":{"date-parts":[["2009"]]},"page":"251","publisher":"Springer","title":"Group cooperation under uncertainty","type":"article-journal","volume":"39"},"uris":["http://www.mendeley.com/documents/?uuid=1579dd97-553f-42ba-af93-0797c7c520f5"]},{"id":"ITEM-2","itemData":{"author":[{"dropping-particle":"","family":"Kunreuther","given":"Howard","non-dropping-particle":"","parse-names":false,"suffix":""},{"dropping-particle":"","family":"Silvasi","given":"Gabriel","non-dropping-particle":"","parse-names":false,"suffix":""},{"dropping-particle":"","family":"Bradlow","given":"Eric","non-dropping-particle":"","parse-names":false,"suffix":""},{"dropping-particle":"","family":"Small","given":"Dylan","non-dropping-particle":"","parse-names":false,"suffix":""}],"container-title":"Judgment and Decision Making","id":"ITEM-2","issue":"5","issued":{"date-parts":[["2009"]]},"page":"363","title":"Bayesian analysis of deterministic and stochastic prisoner's dilemma games","type":"article-journal","volume":"4"},"uris":["http://www.mendeley.com/documents/?uuid=9fa45453-4136-4e5b-987c-c266d4ff8013"]}],"mendeley":{"formattedCitation":"(Gong et al., 2009; Kunreuther et al., 2009)","plainTextFormattedCitation":"(Gong et al., 2009; Kunreuther et al., 2009)","previouslyFormattedCitation":"(Gong et al. 2009, Kunreuther et al. 2009)"},"properties":{"noteIndex":0},"schema":"https://github.com/citation-style-language/schema/raw/master/csl-citation.json"}</w:instrText>
      </w:r>
      <w:r w:rsidR="00FF1A4D">
        <w:rPr>
          <w:rFonts w:ascii="Times New Roman" w:hAnsi="Times New Roman"/>
        </w:rPr>
        <w:fldChar w:fldCharType="separate"/>
      </w:r>
      <w:r w:rsidR="005B1C17" w:rsidRPr="005B1C17">
        <w:rPr>
          <w:rFonts w:ascii="Times New Roman" w:hAnsi="Times New Roman"/>
          <w:noProof/>
        </w:rPr>
        <w:t>(Gong et al., 2009; Kunreuther et al., 2009)</w:t>
      </w:r>
      <w:r w:rsidR="00FF1A4D">
        <w:rPr>
          <w:rFonts w:ascii="Times New Roman" w:hAnsi="Times New Roman"/>
        </w:rPr>
        <w:fldChar w:fldCharType="end"/>
      </w:r>
      <w:r w:rsidR="00411148" w:rsidRPr="002208A3">
        <w:rPr>
          <w:rFonts w:ascii="Times New Roman" w:hAnsi="Times New Roman"/>
        </w:rPr>
        <w:t xml:space="preserve">. </w:t>
      </w:r>
    </w:p>
    <w:p w14:paraId="661BCE12" w14:textId="1BE31B09" w:rsidR="00934A7E" w:rsidRDefault="000E04DC" w:rsidP="004573FA">
      <w:pPr>
        <w:spacing w:line="480" w:lineRule="auto"/>
        <w:ind w:firstLine="720"/>
        <w:rPr>
          <w:rFonts w:ascii="Times New Roman" w:hAnsi="Times New Roman"/>
        </w:rPr>
      </w:pPr>
      <w:r w:rsidRPr="002208A3">
        <w:rPr>
          <w:rFonts w:ascii="Times New Roman" w:hAnsi="Times New Roman"/>
        </w:rPr>
        <w:t>Consistent with that</w:t>
      </w:r>
      <w:r w:rsidR="00B03A84">
        <w:rPr>
          <w:rFonts w:ascii="Times New Roman" w:hAnsi="Times New Roman"/>
        </w:rPr>
        <w:t xml:space="preserve"> finding</w:t>
      </w:r>
      <w:r w:rsidRPr="002208A3">
        <w:rPr>
          <w:rFonts w:ascii="Times New Roman" w:hAnsi="Times New Roman"/>
        </w:rPr>
        <w:t xml:space="preserve">, Xiao and </w:t>
      </w:r>
      <w:proofErr w:type="spellStart"/>
      <w:r w:rsidRPr="002208A3">
        <w:rPr>
          <w:rFonts w:ascii="Times New Roman" w:hAnsi="Times New Roman"/>
        </w:rPr>
        <w:t>Kunreuther</w:t>
      </w:r>
      <w:proofErr w:type="spellEnd"/>
      <w:r w:rsidRPr="002208A3">
        <w:rPr>
          <w:rFonts w:ascii="Times New Roman" w:hAnsi="Times New Roman"/>
        </w:rPr>
        <w:t xml:space="preserve"> </w:t>
      </w:r>
      <w:r w:rsidR="00FF1A4D">
        <w:rPr>
          <w:rFonts w:ascii="Times New Roman" w:hAnsi="Times New Roman"/>
        </w:rPr>
        <w:fldChar w:fldCharType="begin" w:fldLock="1"/>
      </w:r>
      <w:r w:rsidR="005B1C17">
        <w:rPr>
          <w:rFonts w:ascii="Times New Roman" w:hAnsi="Times New Roman"/>
        </w:rPr>
        <w:instrText>ADDIN CSL_CITATION {"citationItems":[{"id":"ITEM-1","itemData":{"ISSN":"0022-0027","author":[{"dropping-particle":"","family":"Xiao","given":"Erte","non-dropping-particle":"","parse-names":false,"suffix":""},{"dropping-particle":"","family":"Kunreuther","given":"Howard","non-dropping-particle":"","parse-names":false,"suffix":""}],"container-title":"Journal of Conflict Resolution","id":"ITEM-1","issue":"4","issued":{"date-parts":[["2016"]]},"page":"670-693","publisher":"SAGE Publications Sage CA: Los Angeles, CA","title":"Punishment and cooperation in stochastic social dilemmas","type":"article-journal","volume":"60"},"uris":["http://www.mendeley.com/documents/?uuid=71c9df2e-9649-4241-b4bc-ef1416b51748"]}],"mendeley":{"formattedCitation":"(Xiao &amp; Kunreuther, 2016)","manualFormatting":"(2016)","plainTextFormattedCitation":"(Xiao &amp; Kunreuther, 2016)","previouslyFormattedCitation":"(Xiao and Kunreuther 2016)"},"properties":{"noteIndex":0},"schema":"https://github.com/citation-style-language/schema/raw/master/csl-citation.json"}</w:instrText>
      </w:r>
      <w:r w:rsidR="00FF1A4D">
        <w:rPr>
          <w:rFonts w:ascii="Times New Roman" w:hAnsi="Times New Roman"/>
        </w:rPr>
        <w:fldChar w:fldCharType="separate"/>
      </w:r>
      <w:r w:rsidR="00FF1A4D" w:rsidRPr="00FF1A4D">
        <w:rPr>
          <w:rFonts w:ascii="Times New Roman" w:hAnsi="Times New Roman"/>
          <w:noProof/>
        </w:rPr>
        <w:t>(2016)</w:t>
      </w:r>
      <w:r w:rsidR="00FF1A4D">
        <w:rPr>
          <w:rFonts w:ascii="Times New Roman" w:hAnsi="Times New Roman"/>
        </w:rPr>
        <w:fldChar w:fldCharType="end"/>
      </w:r>
      <w:r w:rsidR="00FF1A4D">
        <w:rPr>
          <w:rFonts w:ascii="Times New Roman" w:hAnsi="Times New Roman"/>
        </w:rPr>
        <w:t xml:space="preserve"> </w:t>
      </w:r>
      <w:r w:rsidRPr="002208A3">
        <w:rPr>
          <w:rFonts w:ascii="Times New Roman" w:hAnsi="Times New Roman"/>
        </w:rPr>
        <w:t xml:space="preserve">argue that noncooperative behavior is less likely to </w:t>
      </w:r>
      <w:r w:rsidR="00114D64">
        <w:rPr>
          <w:rFonts w:ascii="Times New Roman" w:hAnsi="Times New Roman"/>
        </w:rPr>
        <w:t>be</w:t>
      </w:r>
      <w:r w:rsidR="00114D64" w:rsidRPr="002208A3">
        <w:rPr>
          <w:rFonts w:ascii="Times New Roman" w:hAnsi="Times New Roman"/>
        </w:rPr>
        <w:t xml:space="preserve"> </w:t>
      </w:r>
      <w:r w:rsidRPr="002208A3">
        <w:rPr>
          <w:rFonts w:ascii="Times New Roman" w:hAnsi="Times New Roman"/>
        </w:rPr>
        <w:t xml:space="preserve">punished when there is </w:t>
      </w:r>
      <w:r w:rsidR="00F1771A">
        <w:rPr>
          <w:rFonts w:ascii="Times New Roman" w:hAnsi="Times New Roman"/>
        </w:rPr>
        <w:t>risk</w:t>
      </w:r>
      <w:r w:rsidR="00F1771A" w:rsidRPr="002208A3">
        <w:rPr>
          <w:rFonts w:ascii="Times New Roman" w:hAnsi="Times New Roman"/>
        </w:rPr>
        <w:t xml:space="preserve"> </w:t>
      </w:r>
      <w:r w:rsidRPr="002208A3">
        <w:rPr>
          <w:rFonts w:ascii="Times New Roman" w:hAnsi="Times New Roman"/>
        </w:rPr>
        <w:t xml:space="preserve">in the game outcomes. </w:t>
      </w:r>
      <w:r w:rsidR="002D328B" w:rsidRPr="002208A3">
        <w:rPr>
          <w:rFonts w:ascii="Times New Roman" w:hAnsi="Times New Roman"/>
        </w:rPr>
        <w:t xml:space="preserve">One theory on why this happens is that the motivations for cooperation in a </w:t>
      </w:r>
      <w:proofErr w:type="gramStart"/>
      <w:r w:rsidR="00F1771A">
        <w:rPr>
          <w:rFonts w:ascii="Times New Roman" w:hAnsi="Times New Roman"/>
        </w:rPr>
        <w:t>prisoners</w:t>
      </w:r>
      <w:proofErr w:type="gramEnd"/>
      <w:r w:rsidR="00F1771A">
        <w:rPr>
          <w:rFonts w:ascii="Times New Roman" w:hAnsi="Times New Roman"/>
        </w:rPr>
        <w:t xml:space="preserve"> dilemma </w:t>
      </w:r>
      <w:r w:rsidR="002D328B" w:rsidRPr="002208A3">
        <w:rPr>
          <w:rFonts w:ascii="Times New Roman" w:hAnsi="Times New Roman"/>
        </w:rPr>
        <w:t xml:space="preserve">game -- such as altruism, reciprocity, or commitment -- are diluted when outcomes are uncertain. For example, if </w:t>
      </w:r>
      <w:r w:rsidR="00C17D9F" w:rsidRPr="002208A3">
        <w:rPr>
          <w:rFonts w:ascii="Times New Roman" w:hAnsi="Times New Roman"/>
        </w:rPr>
        <w:t>someone</w:t>
      </w:r>
      <w:r w:rsidR="002D328B" w:rsidRPr="002208A3">
        <w:rPr>
          <w:rFonts w:ascii="Times New Roman" w:hAnsi="Times New Roman"/>
        </w:rPr>
        <w:t xml:space="preserve"> cooperate</w:t>
      </w:r>
      <w:r w:rsidR="00C17D9F" w:rsidRPr="002208A3">
        <w:rPr>
          <w:rFonts w:ascii="Times New Roman" w:hAnsi="Times New Roman"/>
        </w:rPr>
        <w:t>s</w:t>
      </w:r>
      <w:r w:rsidR="002D328B" w:rsidRPr="002208A3">
        <w:rPr>
          <w:rFonts w:ascii="Times New Roman" w:hAnsi="Times New Roman"/>
        </w:rPr>
        <w:t xml:space="preserve"> in a typical</w:t>
      </w:r>
      <w:r w:rsidR="009132EC">
        <w:rPr>
          <w:rFonts w:ascii="Times New Roman" w:hAnsi="Times New Roman"/>
        </w:rPr>
        <w:t>, deterministic prisoners dilemma</w:t>
      </w:r>
      <w:r w:rsidR="002D328B" w:rsidRPr="002208A3">
        <w:rPr>
          <w:rFonts w:ascii="Times New Roman" w:hAnsi="Times New Roman"/>
        </w:rPr>
        <w:t xml:space="preserve"> </w:t>
      </w:r>
      <w:r w:rsidR="009132EC">
        <w:rPr>
          <w:rFonts w:ascii="Times New Roman" w:hAnsi="Times New Roman"/>
        </w:rPr>
        <w:t>(D</w:t>
      </w:r>
      <w:r w:rsidR="002D328B" w:rsidRPr="002208A3">
        <w:rPr>
          <w:rFonts w:ascii="Times New Roman" w:hAnsi="Times New Roman"/>
        </w:rPr>
        <w:t>PD</w:t>
      </w:r>
      <w:r w:rsidR="009132EC">
        <w:rPr>
          <w:rFonts w:ascii="Times New Roman" w:hAnsi="Times New Roman"/>
        </w:rPr>
        <w:t>)</w:t>
      </w:r>
      <w:r w:rsidR="002D328B" w:rsidRPr="002208A3">
        <w:rPr>
          <w:rFonts w:ascii="Times New Roman" w:hAnsi="Times New Roman"/>
        </w:rPr>
        <w:t xml:space="preserve"> game, </w:t>
      </w:r>
      <w:r w:rsidR="00AF553E">
        <w:rPr>
          <w:rFonts w:ascii="Times New Roman" w:hAnsi="Times New Roman"/>
        </w:rPr>
        <w:t>they</w:t>
      </w:r>
      <w:r w:rsidR="00AF553E" w:rsidRPr="002208A3">
        <w:rPr>
          <w:rFonts w:ascii="Times New Roman" w:hAnsi="Times New Roman"/>
        </w:rPr>
        <w:t xml:space="preserve"> </w:t>
      </w:r>
      <w:r w:rsidR="002D328B" w:rsidRPr="002208A3">
        <w:rPr>
          <w:rFonts w:ascii="Times New Roman" w:hAnsi="Times New Roman"/>
        </w:rPr>
        <w:t xml:space="preserve">know it will help </w:t>
      </w:r>
      <w:r w:rsidR="00AF553E">
        <w:rPr>
          <w:rFonts w:ascii="Times New Roman" w:hAnsi="Times New Roman"/>
        </w:rPr>
        <w:t>their</w:t>
      </w:r>
      <w:r w:rsidR="00AF553E" w:rsidRPr="002208A3">
        <w:rPr>
          <w:rFonts w:ascii="Times New Roman" w:hAnsi="Times New Roman"/>
        </w:rPr>
        <w:t xml:space="preserve"> </w:t>
      </w:r>
      <w:r w:rsidR="002D328B" w:rsidRPr="002208A3">
        <w:rPr>
          <w:rFonts w:ascii="Times New Roman" w:hAnsi="Times New Roman"/>
        </w:rPr>
        <w:t xml:space="preserve">counterpart, while if </w:t>
      </w:r>
      <w:r w:rsidR="00C17D9F" w:rsidRPr="002208A3">
        <w:rPr>
          <w:rFonts w:ascii="Times New Roman" w:hAnsi="Times New Roman"/>
        </w:rPr>
        <w:t>someone</w:t>
      </w:r>
      <w:r w:rsidR="002D328B" w:rsidRPr="002208A3">
        <w:rPr>
          <w:rFonts w:ascii="Times New Roman" w:hAnsi="Times New Roman"/>
        </w:rPr>
        <w:t xml:space="preserve"> cooperate</w:t>
      </w:r>
      <w:r w:rsidR="00C17D9F" w:rsidRPr="002208A3">
        <w:rPr>
          <w:rFonts w:ascii="Times New Roman" w:hAnsi="Times New Roman"/>
        </w:rPr>
        <w:t>s</w:t>
      </w:r>
      <w:r w:rsidR="002D328B" w:rsidRPr="002208A3">
        <w:rPr>
          <w:rFonts w:ascii="Times New Roman" w:hAnsi="Times New Roman"/>
        </w:rPr>
        <w:t xml:space="preserve"> in a stochastic </w:t>
      </w:r>
      <w:proofErr w:type="gramStart"/>
      <w:r w:rsidR="00AD200A">
        <w:rPr>
          <w:rFonts w:ascii="Times New Roman" w:hAnsi="Times New Roman"/>
        </w:rPr>
        <w:t>prisoners</w:t>
      </w:r>
      <w:proofErr w:type="gramEnd"/>
      <w:r w:rsidR="00AD200A">
        <w:rPr>
          <w:rFonts w:ascii="Times New Roman" w:hAnsi="Times New Roman"/>
        </w:rPr>
        <w:t xml:space="preserve"> dilemma </w:t>
      </w:r>
      <w:r w:rsidR="009132EC">
        <w:rPr>
          <w:rFonts w:ascii="Times New Roman" w:hAnsi="Times New Roman"/>
        </w:rPr>
        <w:t>(S</w:t>
      </w:r>
      <w:r w:rsidR="002D328B" w:rsidRPr="002208A3">
        <w:rPr>
          <w:rFonts w:ascii="Times New Roman" w:hAnsi="Times New Roman"/>
        </w:rPr>
        <w:t>PD</w:t>
      </w:r>
      <w:r w:rsidR="009132EC">
        <w:rPr>
          <w:rFonts w:ascii="Times New Roman" w:hAnsi="Times New Roman"/>
        </w:rPr>
        <w:t>)</w:t>
      </w:r>
      <w:r w:rsidR="00AD200A">
        <w:rPr>
          <w:rFonts w:ascii="Times New Roman" w:hAnsi="Times New Roman"/>
        </w:rPr>
        <w:t xml:space="preserve"> game</w:t>
      </w:r>
      <w:r w:rsidR="002D328B" w:rsidRPr="002208A3">
        <w:rPr>
          <w:rFonts w:ascii="Times New Roman" w:hAnsi="Times New Roman"/>
        </w:rPr>
        <w:t xml:space="preserve">, </w:t>
      </w:r>
      <w:r w:rsidR="00AF553E">
        <w:rPr>
          <w:rFonts w:ascii="Times New Roman" w:hAnsi="Times New Roman"/>
        </w:rPr>
        <w:t>they</w:t>
      </w:r>
      <w:r w:rsidR="00AF553E" w:rsidRPr="002208A3">
        <w:rPr>
          <w:rFonts w:ascii="Times New Roman" w:hAnsi="Times New Roman"/>
        </w:rPr>
        <w:t xml:space="preserve"> </w:t>
      </w:r>
      <w:r w:rsidR="0076552F" w:rsidRPr="002208A3">
        <w:rPr>
          <w:rFonts w:ascii="Times New Roman" w:hAnsi="Times New Roman"/>
        </w:rPr>
        <w:t>do not</w:t>
      </w:r>
      <w:r w:rsidR="002D328B" w:rsidRPr="002208A3">
        <w:rPr>
          <w:rFonts w:ascii="Times New Roman" w:hAnsi="Times New Roman"/>
        </w:rPr>
        <w:t xml:space="preserve"> know if it will result in a tangible benefit for </w:t>
      </w:r>
      <w:r w:rsidR="00AF553E">
        <w:rPr>
          <w:rFonts w:ascii="Times New Roman" w:hAnsi="Times New Roman"/>
        </w:rPr>
        <w:t>their</w:t>
      </w:r>
      <w:r w:rsidR="00AF553E" w:rsidRPr="002208A3">
        <w:rPr>
          <w:rFonts w:ascii="Times New Roman" w:hAnsi="Times New Roman"/>
        </w:rPr>
        <w:t xml:space="preserve"> </w:t>
      </w:r>
      <w:r w:rsidR="002D328B" w:rsidRPr="002208A3">
        <w:rPr>
          <w:rFonts w:ascii="Times New Roman" w:hAnsi="Times New Roman"/>
        </w:rPr>
        <w:t>counterpart or not</w:t>
      </w:r>
      <w:r w:rsidR="009132EC">
        <w:rPr>
          <w:rFonts w:ascii="Times New Roman" w:hAnsi="Times New Roman"/>
        </w:rPr>
        <w:t>, due to the outcome risk</w:t>
      </w:r>
      <w:r w:rsidR="002D328B" w:rsidRPr="002208A3">
        <w:rPr>
          <w:rFonts w:ascii="Times New Roman" w:hAnsi="Times New Roman"/>
        </w:rPr>
        <w:t xml:space="preserve">. </w:t>
      </w:r>
      <w:r w:rsidR="009869E5" w:rsidRPr="002208A3">
        <w:rPr>
          <w:rFonts w:ascii="Times New Roman" w:hAnsi="Times New Roman"/>
        </w:rPr>
        <w:t>Similarly, the ability to retaliate with a tit-for-tat strategy is reduced</w:t>
      </w:r>
      <w:r w:rsidR="00C17D9F" w:rsidRPr="002208A3">
        <w:rPr>
          <w:rFonts w:ascii="Times New Roman" w:hAnsi="Times New Roman"/>
        </w:rPr>
        <w:t xml:space="preserve"> when outcomes </w:t>
      </w:r>
      <w:r w:rsidR="009C3CF1">
        <w:rPr>
          <w:rFonts w:ascii="Times New Roman" w:hAnsi="Times New Roman"/>
        </w:rPr>
        <w:t>involve risk</w:t>
      </w:r>
      <w:r w:rsidR="009869E5" w:rsidRPr="002208A3">
        <w:rPr>
          <w:rFonts w:ascii="Times New Roman" w:hAnsi="Times New Roman"/>
        </w:rPr>
        <w:t xml:space="preserve">: </w:t>
      </w:r>
      <w:r w:rsidR="00C17D9F" w:rsidRPr="002208A3">
        <w:rPr>
          <w:rFonts w:ascii="Times New Roman" w:hAnsi="Times New Roman"/>
        </w:rPr>
        <w:t>defection</w:t>
      </w:r>
      <w:r w:rsidR="009869E5" w:rsidRPr="002208A3">
        <w:rPr>
          <w:rFonts w:ascii="Times New Roman" w:hAnsi="Times New Roman"/>
        </w:rPr>
        <w:t xml:space="preserve"> will not necessarily hurt one's counterpart. </w:t>
      </w:r>
      <w:r w:rsidR="00A631D4">
        <w:rPr>
          <w:rFonts w:ascii="Times New Roman" w:hAnsi="Times New Roman"/>
        </w:rPr>
        <w:t xml:space="preserve"> </w:t>
      </w:r>
      <w:r w:rsidR="00AD200A">
        <w:rPr>
          <w:rFonts w:ascii="Times New Roman" w:hAnsi="Times New Roman"/>
        </w:rPr>
        <w:t xml:space="preserve">For example, people may think, “Most likely the loss will not occur, so it won’t matter to my counterpart if I invest in protection or not”, and so they choose the self-benefitting choice more often. </w:t>
      </w:r>
    </w:p>
    <w:p w14:paraId="7FCBD016" w14:textId="70711DBD" w:rsidR="00A82CE5" w:rsidRDefault="00A82CE5" w:rsidP="00511D2D">
      <w:pPr>
        <w:spacing w:line="480" w:lineRule="auto"/>
        <w:ind w:firstLine="720"/>
        <w:rPr>
          <w:rFonts w:ascii="Times New Roman" w:hAnsi="Times New Roman"/>
        </w:rPr>
      </w:pPr>
    </w:p>
    <w:p w14:paraId="3E8ED545" w14:textId="7290DCF1" w:rsidR="00A82CE5" w:rsidRPr="003E1DB5" w:rsidRDefault="00A82CE5" w:rsidP="003E1DB5">
      <w:pPr>
        <w:spacing w:line="480" w:lineRule="auto"/>
        <w:rPr>
          <w:rFonts w:ascii="Times New Roman" w:hAnsi="Times New Roman"/>
          <w:b/>
          <w:bCs/>
        </w:rPr>
      </w:pPr>
      <w:r w:rsidRPr="003E1DB5">
        <w:rPr>
          <w:rFonts w:ascii="Times New Roman" w:hAnsi="Times New Roman"/>
          <w:b/>
          <w:bCs/>
        </w:rPr>
        <w:t xml:space="preserve">How to Increase Cooperation Under </w:t>
      </w:r>
      <w:r w:rsidR="00F1771A">
        <w:rPr>
          <w:rFonts w:ascii="Times New Roman" w:hAnsi="Times New Roman"/>
          <w:b/>
          <w:bCs/>
        </w:rPr>
        <w:t>Outcome Risk</w:t>
      </w:r>
    </w:p>
    <w:p w14:paraId="4EBE191B" w14:textId="76FBD850" w:rsidR="00434AEA" w:rsidRDefault="00554D10" w:rsidP="00AF2B85">
      <w:pPr>
        <w:spacing w:line="480" w:lineRule="auto"/>
        <w:rPr>
          <w:rFonts w:ascii="Times New Roman" w:hAnsi="Times New Roman"/>
        </w:rPr>
      </w:pPr>
      <w:r w:rsidRPr="002208A3">
        <w:rPr>
          <w:rFonts w:ascii="Times New Roman" w:hAnsi="Times New Roman"/>
        </w:rPr>
        <w:tab/>
      </w:r>
      <w:r w:rsidR="00150ED5" w:rsidRPr="002208A3">
        <w:rPr>
          <w:rFonts w:ascii="Times New Roman" w:hAnsi="Times New Roman"/>
        </w:rPr>
        <w:t xml:space="preserve">Because individuals are less likely to </w:t>
      </w:r>
      <w:r w:rsidR="003D27D9" w:rsidRPr="002208A3">
        <w:rPr>
          <w:rFonts w:ascii="Times New Roman" w:hAnsi="Times New Roman"/>
        </w:rPr>
        <w:t xml:space="preserve">cooperate under </w:t>
      </w:r>
      <w:r w:rsidR="00F1771A">
        <w:rPr>
          <w:rFonts w:ascii="Times New Roman" w:hAnsi="Times New Roman"/>
        </w:rPr>
        <w:t>outcome risk</w:t>
      </w:r>
      <w:r w:rsidR="00150ED5" w:rsidRPr="002208A3">
        <w:rPr>
          <w:rFonts w:ascii="Times New Roman" w:hAnsi="Times New Roman"/>
        </w:rPr>
        <w:t xml:space="preserve">, and because so many real-world situations of interest resemble </w:t>
      </w:r>
      <w:r w:rsidR="00AD200A">
        <w:rPr>
          <w:rFonts w:ascii="Times New Roman" w:hAnsi="Times New Roman"/>
        </w:rPr>
        <w:t>interdependent security</w:t>
      </w:r>
      <w:r w:rsidR="00AD200A" w:rsidRPr="002208A3">
        <w:rPr>
          <w:rFonts w:ascii="Times New Roman" w:hAnsi="Times New Roman"/>
        </w:rPr>
        <w:t xml:space="preserve"> </w:t>
      </w:r>
      <w:r w:rsidR="00150ED5" w:rsidRPr="002208A3">
        <w:rPr>
          <w:rFonts w:ascii="Times New Roman" w:hAnsi="Times New Roman"/>
        </w:rPr>
        <w:t xml:space="preserve">situations (with </w:t>
      </w:r>
      <w:r w:rsidR="00F1771A">
        <w:rPr>
          <w:rFonts w:ascii="Times New Roman" w:hAnsi="Times New Roman"/>
        </w:rPr>
        <w:t>risky</w:t>
      </w:r>
      <w:r w:rsidR="00150ED5" w:rsidRPr="002208A3">
        <w:rPr>
          <w:rFonts w:ascii="Times New Roman" w:hAnsi="Times New Roman"/>
        </w:rPr>
        <w:t xml:space="preserve">, </w:t>
      </w:r>
      <w:r w:rsidR="00AD200A">
        <w:rPr>
          <w:rFonts w:ascii="Times New Roman" w:hAnsi="Times New Roman"/>
        </w:rPr>
        <w:t>large</w:t>
      </w:r>
      <w:r w:rsidR="00D72F33">
        <w:rPr>
          <w:rFonts w:ascii="Times New Roman" w:hAnsi="Times New Roman"/>
        </w:rPr>
        <w:t>-magnitude,</w:t>
      </w:r>
      <w:r w:rsidR="00AD200A">
        <w:rPr>
          <w:rFonts w:ascii="Times New Roman" w:hAnsi="Times New Roman"/>
        </w:rPr>
        <w:t xml:space="preserve"> </w:t>
      </w:r>
      <w:r w:rsidR="00150ED5" w:rsidRPr="002208A3">
        <w:rPr>
          <w:rFonts w:ascii="Times New Roman" w:hAnsi="Times New Roman"/>
        </w:rPr>
        <w:t xml:space="preserve">negative prospects), </w:t>
      </w:r>
      <w:r w:rsidR="006B6FB0" w:rsidRPr="002208A3">
        <w:rPr>
          <w:rFonts w:ascii="Times New Roman" w:hAnsi="Times New Roman"/>
        </w:rPr>
        <w:t xml:space="preserve">behavioral research should explore ways to </w:t>
      </w:r>
      <w:r w:rsidR="006D0DE0" w:rsidRPr="002208A3">
        <w:rPr>
          <w:rFonts w:ascii="Times New Roman" w:hAnsi="Times New Roman"/>
        </w:rPr>
        <w:t>increase</w:t>
      </w:r>
      <w:r w:rsidR="006B6FB0" w:rsidRPr="002208A3">
        <w:rPr>
          <w:rFonts w:ascii="Times New Roman" w:hAnsi="Times New Roman"/>
        </w:rPr>
        <w:t xml:space="preserve"> cooperation under </w:t>
      </w:r>
      <w:r w:rsidR="00F1771A">
        <w:rPr>
          <w:rFonts w:ascii="Times New Roman" w:hAnsi="Times New Roman"/>
        </w:rPr>
        <w:t>outcome risk</w:t>
      </w:r>
      <w:r w:rsidR="006B6FB0" w:rsidRPr="002208A3">
        <w:rPr>
          <w:rFonts w:ascii="Times New Roman" w:hAnsi="Times New Roman"/>
        </w:rPr>
        <w:t xml:space="preserve">. </w:t>
      </w:r>
      <w:r w:rsidR="00434AEA">
        <w:rPr>
          <w:rFonts w:ascii="Times New Roman" w:hAnsi="Times New Roman"/>
        </w:rPr>
        <w:t xml:space="preserve">In the present research, we investigate the </w:t>
      </w:r>
      <w:r w:rsidR="002D1E56">
        <w:rPr>
          <w:rFonts w:ascii="Times New Roman" w:hAnsi="Times New Roman"/>
        </w:rPr>
        <w:t>idea</w:t>
      </w:r>
      <w:r w:rsidR="00434AEA">
        <w:rPr>
          <w:rFonts w:ascii="Times New Roman" w:hAnsi="Times New Roman"/>
        </w:rPr>
        <w:t xml:space="preserve"> that </w:t>
      </w:r>
      <w:r w:rsidR="00434AEA" w:rsidRPr="00511D2D">
        <w:rPr>
          <w:rFonts w:ascii="Times New Roman" w:hAnsi="Times New Roman"/>
          <w:i/>
          <w:iCs/>
        </w:rPr>
        <w:t>precommitting</w:t>
      </w:r>
      <w:r w:rsidR="00434AEA">
        <w:rPr>
          <w:rFonts w:ascii="Times New Roman" w:hAnsi="Times New Roman"/>
        </w:rPr>
        <w:t xml:space="preserve"> to multiple rounds of a social dilemma simultaneously might alter the perceived probabilities and payoffs, and change the interactions and perceptions of other players, therefore </w:t>
      </w:r>
      <w:r w:rsidR="002D1E56">
        <w:rPr>
          <w:rFonts w:ascii="Times New Roman" w:hAnsi="Times New Roman"/>
        </w:rPr>
        <w:t>increasing</w:t>
      </w:r>
      <w:r w:rsidR="00434AEA">
        <w:rPr>
          <w:rFonts w:ascii="Times New Roman" w:hAnsi="Times New Roman"/>
        </w:rPr>
        <w:t xml:space="preserve"> cooperation levels</w:t>
      </w:r>
      <w:r w:rsidR="002D1E56">
        <w:rPr>
          <w:rFonts w:ascii="Times New Roman" w:hAnsi="Times New Roman"/>
        </w:rPr>
        <w:t xml:space="preserve"> in stochastic dilemmas</w:t>
      </w:r>
      <w:r w:rsidR="00434AEA">
        <w:rPr>
          <w:rFonts w:ascii="Times New Roman" w:hAnsi="Times New Roman"/>
        </w:rPr>
        <w:t xml:space="preserve">. </w:t>
      </w:r>
    </w:p>
    <w:p w14:paraId="7214AD30" w14:textId="66CD1272" w:rsidR="00245111" w:rsidRDefault="008952CF" w:rsidP="00511D2D">
      <w:pPr>
        <w:spacing w:line="480" w:lineRule="auto"/>
        <w:ind w:firstLine="720"/>
        <w:rPr>
          <w:rFonts w:ascii="Times New Roman" w:hAnsi="Times New Roman"/>
        </w:rPr>
      </w:pPr>
      <w:r w:rsidRPr="002208A3">
        <w:rPr>
          <w:rFonts w:ascii="Times New Roman" w:hAnsi="Times New Roman"/>
        </w:rPr>
        <w:lastRenderedPageBreak/>
        <w:t xml:space="preserve">One </w:t>
      </w:r>
      <w:r w:rsidR="00236154">
        <w:rPr>
          <w:rFonts w:ascii="Times New Roman" w:hAnsi="Times New Roman"/>
        </w:rPr>
        <w:t>source of inspiration</w:t>
      </w:r>
      <w:r w:rsidR="00434AEA" w:rsidRPr="002208A3">
        <w:rPr>
          <w:rFonts w:ascii="Times New Roman" w:hAnsi="Times New Roman"/>
        </w:rPr>
        <w:t xml:space="preserve"> </w:t>
      </w:r>
      <w:r w:rsidR="000800FE" w:rsidRPr="002208A3">
        <w:rPr>
          <w:rFonts w:ascii="Times New Roman" w:hAnsi="Times New Roman"/>
        </w:rPr>
        <w:t xml:space="preserve">comes from </w:t>
      </w:r>
      <w:proofErr w:type="spellStart"/>
      <w:r w:rsidR="007877D7" w:rsidRPr="002208A3">
        <w:rPr>
          <w:rFonts w:ascii="Times New Roman" w:hAnsi="Times New Roman"/>
        </w:rPr>
        <w:t>Redelmeier</w:t>
      </w:r>
      <w:proofErr w:type="spellEnd"/>
      <w:r w:rsidR="007877D7" w:rsidRPr="002208A3">
        <w:rPr>
          <w:rFonts w:ascii="Times New Roman" w:hAnsi="Times New Roman"/>
        </w:rPr>
        <w:t xml:space="preserve"> and Tversky's </w:t>
      </w:r>
      <w:r w:rsidR="00B92D0B">
        <w:rPr>
          <w:rFonts w:ascii="Times New Roman" w:hAnsi="Times New Roman"/>
        </w:rPr>
        <w:fldChar w:fldCharType="begin" w:fldLock="1"/>
      </w:r>
      <w:r w:rsidR="005B1C17">
        <w:rPr>
          <w:rFonts w:ascii="Times New Roman" w:hAnsi="Times New Roman"/>
        </w:rPr>
        <w:instrText>ADDIN CSL_CITATION {"citationItems":[{"id":"ITEM-1","itemData":{"ISSN":"0956-7976","author":[{"dropping-particle":"","family":"Redelmeier","given":"Donald A","non-dropping-particle":"","parse-names":false,"suffix":""},{"dropping-particle":"","family":"Tversky","given":"Amos","non-dropping-particle":"","parse-names":false,"suffix":""}],"container-title":"Psychological Science","id":"ITEM-1","issue":"3","issued":{"date-parts":[["1992"]]},"page":"191-193","publisher":"SAGE Publications Sage CA: Los Angeles, CA","title":"On the framing of multiple prospects","type":"article-journal","volume":"3"},"uris":["http://www.mendeley.com/documents/?uuid=5e71075b-813a-4085-b500-3531c973faf9"]}],"mendeley":{"formattedCitation":"(Redelmeier &amp; Tversky, 1992)","manualFormatting":"(1992)","plainTextFormattedCitation":"(Redelmeier &amp; Tversky, 1992)","previouslyFormattedCitation":"(Redelmeier and Tversky 1992)"},"properties":{"noteIndex":0},"schema":"https://github.com/citation-style-language/schema/raw/master/csl-citation.json"}</w:instrText>
      </w:r>
      <w:r w:rsidR="00B92D0B">
        <w:rPr>
          <w:rFonts w:ascii="Times New Roman" w:hAnsi="Times New Roman"/>
        </w:rPr>
        <w:fldChar w:fldCharType="separate"/>
      </w:r>
      <w:r w:rsidR="00B92D0B" w:rsidRPr="00B92D0B">
        <w:rPr>
          <w:rFonts w:ascii="Times New Roman" w:hAnsi="Times New Roman"/>
          <w:noProof/>
        </w:rPr>
        <w:t>(1992)</w:t>
      </w:r>
      <w:r w:rsidR="00B92D0B">
        <w:rPr>
          <w:rFonts w:ascii="Times New Roman" w:hAnsi="Times New Roman"/>
        </w:rPr>
        <w:fldChar w:fldCharType="end"/>
      </w:r>
      <w:r w:rsidR="007877D7" w:rsidRPr="002208A3">
        <w:rPr>
          <w:rFonts w:ascii="Times New Roman" w:hAnsi="Times New Roman"/>
        </w:rPr>
        <w:t xml:space="preserve"> </w:t>
      </w:r>
      <w:r w:rsidR="000800FE" w:rsidRPr="002208A3">
        <w:rPr>
          <w:rFonts w:ascii="Times New Roman" w:hAnsi="Times New Roman"/>
        </w:rPr>
        <w:t>work on single vs multiple prospects</w:t>
      </w:r>
      <w:r w:rsidR="00245111" w:rsidRPr="002208A3">
        <w:rPr>
          <w:rFonts w:ascii="Times New Roman" w:hAnsi="Times New Roman"/>
        </w:rPr>
        <w:t>: although many individuals make sub-optimal choices on a single risky gamble, their choices improve when playing multiple gambles simultaneously. For example, when offered a chance to play a gamble with a 50% chance of winning $2,000 and a 50% chance of losing $500, only 43% of participants indicated they would play th</w:t>
      </w:r>
      <w:r w:rsidR="000927F8" w:rsidRPr="002208A3">
        <w:rPr>
          <w:rFonts w:ascii="Times New Roman" w:hAnsi="Times New Roman"/>
        </w:rPr>
        <w:t>is</w:t>
      </w:r>
      <w:r w:rsidR="00034769">
        <w:rPr>
          <w:rFonts w:ascii="Times New Roman" w:hAnsi="Times New Roman"/>
        </w:rPr>
        <w:t xml:space="preserve"> </w:t>
      </w:r>
      <w:r w:rsidR="000927F8" w:rsidRPr="002208A3">
        <w:rPr>
          <w:rFonts w:ascii="Times New Roman" w:hAnsi="Times New Roman"/>
        </w:rPr>
        <w:t>attractive</w:t>
      </w:r>
      <w:r w:rsidR="00245111" w:rsidRPr="002208A3">
        <w:rPr>
          <w:rFonts w:ascii="Times New Roman" w:hAnsi="Times New Roman"/>
        </w:rPr>
        <w:t xml:space="preserve"> gamble. </w:t>
      </w:r>
      <w:r w:rsidR="00630667" w:rsidRPr="002208A3">
        <w:rPr>
          <w:rFonts w:ascii="Times New Roman" w:hAnsi="Times New Roman"/>
        </w:rPr>
        <w:t>However, w</w:t>
      </w:r>
      <w:r w:rsidR="00245111" w:rsidRPr="002208A3">
        <w:rPr>
          <w:rFonts w:ascii="Times New Roman" w:hAnsi="Times New Roman"/>
        </w:rPr>
        <w:t>hen offered the chance to play th</w:t>
      </w:r>
      <w:r w:rsidR="00630667" w:rsidRPr="002208A3">
        <w:rPr>
          <w:rFonts w:ascii="Times New Roman" w:hAnsi="Times New Roman"/>
        </w:rPr>
        <w:t>is</w:t>
      </w:r>
      <w:r w:rsidR="00245111" w:rsidRPr="002208A3">
        <w:rPr>
          <w:rFonts w:ascii="Times New Roman" w:hAnsi="Times New Roman"/>
        </w:rPr>
        <w:t xml:space="preserve"> </w:t>
      </w:r>
      <w:r w:rsidR="00630667" w:rsidRPr="002208A3">
        <w:rPr>
          <w:rFonts w:ascii="Times New Roman" w:hAnsi="Times New Roman"/>
        </w:rPr>
        <w:t xml:space="preserve">same </w:t>
      </w:r>
      <w:r w:rsidR="00245111" w:rsidRPr="002208A3">
        <w:rPr>
          <w:rFonts w:ascii="Times New Roman" w:hAnsi="Times New Roman"/>
        </w:rPr>
        <w:t>gamble 5 times</w:t>
      </w:r>
      <w:r w:rsidR="00733464" w:rsidRPr="002208A3">
        <w:rPr>
          <w:rFonts w:ascii="Times New Roman" w:hAnsi="Times New Roman"/>
        </w:rPr>
        <w:t xml:space="preserve"> </w:t>
      </w:r>
      <w:r w:rsidR="00D24866" w:rsidRPr="002208A3">
        <w:rPr>
          <w:rFonts w:ascii="Times New Roman" w:hAnsi="Times New Roman"/>
        </w:rPr>
        <w:t>simultaneously</w:t>
      </w:r>
      <w:r w:rsidR="00245111" w:rsidRPr="002208A3">
        <w:rPr>
          <w:rFonts w:ascii="Times New Roman" w:hAnsi="Times New Roman"/>
        </w:rPr>
        <w:t xml:space="preserve">, </w:t>
      </w:r>
      <w:r w:rsidR="00630667" w:rsidRPr="002208A3">
        <w:rPr>
          <w:rFonts w:ascii="Times New Roman" w:hAnsi="Times New Roman"/>
        </w:rPr>
        <w:t>the number of participants wanting to play increased to 63%</w:t>
      </w:r>
      <w:r w:rsidR="00245111" w:rsidRPr="002208A3">
        <w:rPr>
          <w:rFonts w:ascii="Times New Roman" w:hAnsi="Times New Roman"/>
        </w:rPr>
        <w:t xml:space="preserve">. </w:t>
      </w:r>
      <w:r w:rsidR="00F97233" w:rsidRPr="002208A3">
        <w:rPr>
          <w:rFonts w:ascii="Times New Roman" w:hAnsi="Times New Roman"/>
        </w:rPr>
        <w:t xml:space="preserve">Thus, </w:t>
      </w:r>
      <w:r w:rsidR="00B91358" w:rsidRPr="002208A3">
        <w:rPr>
          <w:rFonts w:ascii="Times New Roman" w:hAnsi="Times New Roman"/>
        </w:rPr>
        <w:t xml:space="preserve">about 20% of participants would not play the </w:t>
      </w:r>
      <w:r w:rsidR="00041681" w:rsidRPr="002208A3">
        <w:rPr>
          <w:rFonts w:ascii="Times New Roman" w:hAnsi="Times New Roman"/>
        </w:rPr>
        <w:t>gamble</w:t>
      </w:r>
      <w:r w:rsidR="00B91358" w:rsidRPr="002208A3">
        <w:rPr>
          <w:rFonts w:ascii="Times New Roman" w:hAnsi="Times New Roman"/>
        </w:rPr>
        <w:t xml:space="preserve"> </w:t>
      </w:r>
      <w:r w:rsidR="00B91358" w:rsidRPr="00D26725">
        <w:rPr>
          <w:rFonts w:ascii="Times New Roman" w:hAnsi="Times New Roman"/>
          <w:noProof/>
        </w:rPr>
        <w:t>once,</w:t>
      </w:r>
      <w:r w:rsidR="00B91358" w:rsidRPr="002208A3">
        <w:rPr>
          <w:rFonts w:ascii="Times New Roman" w:hAnsi="Times New Roman"/>
        </w:rPr>
        <w:t xml:space="preserve"> but </w:t>
      </w:r>
      <w:r w:rsidR="00B91358" w:rsidRPr="002208A3">
        <w:rPr>
          <w:rFonts w:ascii="Times New Roman" w:hAnsi="Times New Roman"/>
          <w:i/>
        </w:rPr>
        <w:t>would</w:t>
      </w:r>
      <w:r w:rsidR="00B91358" w:rsidRPr="002208A3">
        <w:rPr>
          <w:rFonts w:ascii="Times New Roman" w:hAnsi="Times New Roman"/>
        </w:rPr>
        <w:t xml:space="preserve"> play it five times. </w:t>
      </w:r>
      <w:r w:rsidR="00AA046D" w:rsidRPr="002208A3">
        <w:rPr>
          <w:rFonts w:ascii="Times New Roman" w:hAnsi="Times New Roman"/>
        </w:rPr>
        <w:t xml:space="preserve">Presumably, these people want to avoid the possibility of a net loss from the gamble(s), and </w:t>
      </w:r>
      <w:r w:rsidR="00C645D3">
        <w:rPr>
          <w:rFonts w:ascii="Times New Roman" w:hAnsi="Times New Roman"/>
        </w:rPr>
        <w:t xml:space="preserve">they </w:t>
      </w:r>
      <w:r w:rsidR="00AA046D" w:rsidRPr="002208A3">
        <w:rPr>
          <w:rFonts w:ascii="Times New Roman" w:hAnsi="Times New Roman"/>
        </w:rPr>
        <w:t xml:space="preserve">rightly perceive the chance of a net loss to be lower with 5 plays than with 1. </w:t>
      </w:r>
    </w:p>
    <w:p w14:paraId="4105C075" w14:textId="7A4CB233" w:rsidR="002112B6" w:rsidRDefault="005B10DD" w:rsidP="00506B24">
      <w:pPr>
        <w:spacing w:line="480" w:lineRule="auto"/>
        <w:ind w:firstLine="720"/>
        <w:rPr>
          <w:rFonts w:ascii="Times New Roman" w:hAnsi="Times New Roman"/>
          <w:lang w:val="en-CA"/>
        </w:rPr>
      </w:pPr>
      <w:r>
        <w:rPr>
          <w:rFonts w:ascii="Times New Roman" w:hAnsi="Times New Roman"/>
          <w:lang w:val="en-CA"/>
        </w:rPr>
        <w:t>Relatedly, p</w:t>
      </w:r>
      <w:r w:rsidRPr="00401D4E">
        <w:rPr>
          <w:rFonts w:ascii="Times New Roman" w:hAnsi="Times New Roman"/>
          <w:lang w:val="en-CA"/>
        </w:rPr>
        <w:t xml:space="preserve">ast </w:t>
      </w:r>
      <w:r w:rsidR="00506B24" w:rsidRPr="00401D4E">
        <w:rPr>
          <w:rFonts w:ascii="Times New Roman" w:hAnsi="Times New Roman"/>
          <w:lang w:val="en-CA"/>
        </w:rPr>
        <w:t xml:space="preserve">research has investigated the effect of broadening the time-horizon on </w:t>
      </w:r>
      <w:r w:rsidR="00506B24" w:rsidRPr="00981A5C">
        <w:rPr>
          <w:rFonts w:ascii="Times New Roman" w:hAnsi="Times New Roman"/>
          <w:lang w:val="en-CA"/>
        </w:rPr>
        <w:t>individuals</w:t>
      </w:r>
      <w:r w:rsidR="00506B24" w:rsidRPr="00401D4E">
        <w:rPr>
          <w:rFonts w:ascii="Times New Roman" w:hAnsi="Times New Roman"/>
          <w:lang w:val="en-CA"/>
        </w:rPr>
        <w:t xml:space="preserve">’ decisions with rare events. </w:t>
      </w:r>
      <w:proofErr w:type="spellStart"/>
      <w:r w:rsidR="00506B24" w:rsidRPr="00401D4E">
        <w:rPr>
          <w:rFonts w:ascii="Times New Roman" w:hAnsi="Times New Roman"/>
          <w:lang w:val="en-CA"/>
        </w:rPr>
        <w:t>Slovic</w:t>
      </w:r>
      <w:proofErr w:type="spellEnd"/>
      <w:r w:rsidR="00506B24" w:rsidRPr="00401D4E">
        <w:rPr>
          <w:rFonts w:ascii="Times New Roman" w:hAnsi="Times New Roman"/>
          <w:lang w:val="en-CA"/>
        </w:rPr>
        <w:t>, Fischhoff, &amp; Lichtenstein</w:t>
      </w:r>
      <w:r w:rsidR="00B92D0B">
        <w:rPr>
          <w:rFonts w:ascii="Times New Roman" w:hAnsi="Times New Roman"/>
          <w:lang w:val="en-CA"/>
        </w:rPr>
        <w:t xml:space="preserve"> </w:t>
      </w:r>
      <w:r w:rsidR="00B92D0B">
        <w:rPr>
          <w:rFonts w:ascii="Times New Roman" w:hAnsi="Times New Roman"/>
          <w:lang w:val="en-CA"/>
        </w:rPr>
        <w:fldChar w:fldCharType="begin" w:fldLock="1"/>
      </w:r>
      <w:r w:rsidR="005B1C17">
        <w:rPr>
          <w:rFonts w:ascii="Times New Roman" w:hAnsi="Times New Roman"/>
          <w:lang w:val="en-CA"/>
        </w:rPr>
        <w:instrText>ADDIN CSL_CITATION {"citationItems":[{"id":"ITEM-1","itemData":{"ISSN":"0001-4575","author":[{"dropping-particle":"","family":"Slovic","given":"Paul","non-dropping-particle":"","parse-names":false,"suffix":""},{"dropping-particle":"","family":"Fischhoff","given":"Baruch","non-dropping-particle":"","parse-names":false,"suffix":""},{"dropping-particle":"","family":"Lichtenstein","given":"Sarah","non-dropping-particle":"","parse-names":false,"suffix":""}],"container-title":"Accident Analysis &amp; Prevention","id":"ITEM-1","issue":"4","issued":{"date-parts":[["1978"]]},"page":"281-285","publisher":"Elsevier","title":"Accident probabilities and seat belt usage: A psychological perspective","type":"article-journal","volume":"10"},"uris":["http://www.mendeley.com/documents/?uuid=0ad5cd47-b30e-47ed-bb14-cf22b9d1b42c"]}],"mendeley":{"formattedCitation":"(Slovic et al., 1978)","manualFormatting":"(1978)","plainTextFormattedCitation":"(Slovic et al., 1978)","previouslyFormattedCitation":"(Slovic et al. 1978)"},"properties":{"noteIndex":0},"schema":"https://github.com/citation-style-language/schema/raw/master/csl-citation.json"}</w:instrText>
      </w:r>
      <w:r w:rsidR="00B92D0B">
        <w:rPr>
          <w:rFonts w:ascii="Times New Roman" w:hAnsi="Times New Roman"/>
          <w:lang w:val="en-CA"/>
        </w:rPr>
        <w:fldChar w:fldCharType="separate"/>
      </w:r>
      <w:r w:rsidR="00B92D0B" w:rsidRPr="00B92D0B">
        <w:rPr>
          <w:rFonts w:ascii="Times New Roman" w:hAnsi="Times New Roman"/>
          <w:noProof/>
          <w:lang w:val="en-CA"/>
        </w:rPr>
        <w:t>(1978)</w:t>
      </w:r>
      <w:r w:rsidR="00B92D0B">
        <w:rPr>
          <w:rFonts w:ascii="Times New Roman" w:hAnsi="Times New Roman"/>
          <w:lang w:val="en-CA"/>
        </w:rPr>
        <w:fldChar w:fldCharType="end"/>
      </w:r>
      <w:r w:rsidR="00506B24" w:rsidRPr="00401D4E">
        <w:rPr>
          <w:rFonts w:ascii="Times New Roman" w:hAnsi="Times New Roman"/>
          <w:lang w:val="en-CA"/>
        </w:rPr>
        <w:t xml:space="preserve"> show that when the risk of death or injury over a lifetime of driving (versus a single trip) is communicated to individuals, seatbelt use increases. </w:t>
      </w:r>
      <w:r w:rsidR="00CD3E29">
        <w:rPr>
          <w:rFonts w:ascii="Times New Roman" w:hAnsi="Times New Roman"/>
          <w:lang w:val="en-CA"/>
        </w:rPr>
        <w:t>In</w:t>
      </w:r>
      <w:r w:rsidR="00CD3E29" w:rsidRPr="00401D4E">
        <w:rPr>
          <w:rFonts w:ascii="Times New Roman" w:hAnsi="Times New Roman"/>
          <w:lang w:val="en-CA"/>
        </w:rPr>
        <w:t xml:space="preserve"> </w:t>
      </w:r>
      <w:r w:rsidR="00506B24" w:rsidRPr="00401D4E">
        <w:rPr>
          <w:rFonts w:ascii="Times New Roman" w:hAnsi="Times New Roman"/>
          <w:lang w:val="en-CA"/>
        </w:rPr>
        <w:t>another example, communicating the cumulative chance of flood over 30 years as opposed to that of one year has been shown to be effective in selling flood insurance policies</w:t>
      </w:r>
      <w:r w:rsidR="00B92D0B">
        <w:rPr>
          <w:rFonts w:ascii="Times New Roman" w:hAnsi="Times New Roman"/>
          <w:lang w:val="en-CA"/>
        </w:rPr>
        <w:t xml:space="preserve"> </w:t>
      </w:r>
      <w:r w:rsidR="00B92D0B">
        <w:rPr>
          <w:rFonts w:ascii="Times New Roman" w:hAnsi="Times New Roman"/>
          <w:lang w:val="en-CA"/>
        </w:rPr>
        <w:fldChar w:fldCharType="begin" w:fldLock="1"/>
      </w:r>
      <w:r w:rsidR="005B1C17">
        <w:rPr>
          <w:rFonts w:ascii="Times New Roman" w:hAnsi="Times New Roman"/>
          <w:lang w:val="en-CA"/>
        </w:rPr>
        <w:instrText>ADDIN CSL_CITATION {"citationItems":[{"id":"ITEM-1","itemData":{"author":[{"dropping-particle":"","family":"Chaudhry","given":"Shereen J","non-dropping-particle":"","parse-names":false,"suffix":""},{"dropping-particle":"","family":"Hand","given":"Michael","non-dropping-particle":"","parse-names":false,"suffix":""},{"dropping-particle":"","family":"Kunreuther","given":"Howard","non-dropping-particle":"","parse-names":false,"suffix":""}],"container-title":"Working paper# 2018-06","id":"ITEM-1","issued":{"date-parts":[["2018"]]},"publisher":"Risk Management and Decision Processes Center Philadelphia, PA","title":"Extending the time horizon: Elevating concern for rare events by communicating losses over a longer period of time","type":"article"},"uris":["http://www.mendeley.com/documents/?uuid=e99707a3-19cd-48de-98a5-80b365396d12"]}],"mendeley":{"formattedCitation":"(Chaudhry et al., 2018)","plainTextFormattedCitation":"(Chaudhry et al., 2018)","previouslyFormattedCitation":"(Chaudhry et al. 2018)"},"properties":{"noteIndex":0},"schema":"https://github.com/citation-style-language/schema/raw/master/csl-citation.json"}</w:instrText>
      </w:r>
      <w:r w:rsidR="00B92D0B">
        <w:rPr>
          <w:rFonts w:ascii="Times New Roman" w:hAnsi="Times New Roman"/>
          <w:lang w:val="en-CA"/>
        </w:rPr>
        <w:fldChar w:fldCharType="separate"/>
      </w:r>
      <w:r w:rsidR="005B1C17" w:rsidRPr="005B1C17">
        <w:rPr>
          <w:rFonts w:ascii="Times New Roman" w:hAnsi="Times New Roman"/>
          <w:noProof/>
          <w:lang w:val="en-CA"/>
        </w:rPr>
        <w:t>(Chaudhry et al., 2018)</w:t>
      </w:r>
      <w:r w:rsidR="00B92D0B">
        <w:rPr>
          <w:rFonts w:ascii="Times New Roman" w:hAnsi="Times New Roman"/>
          <w:lang w:val="en-CA"/>
        </w:rPr>
        <w:fldChar w:fldCharType="end"/>
      </w:r>
      <w:r w:rsidR="00506B24" w:rsidRPr="00401D4E">
        <w:rPr>
          <w:rFonts w:ascii="Times New Roman" w:hAnsi="Times New Roman"/>
          <w:lang w:val="en-CA"/>
        </w:rPr>
        <w:t>. Moreover, this effect has been shown to be robust to time</w:t>
      </w:r>
      <w:r w:rsidR="00083798">
        <w:rPr>
          <w:rFonts w:ascii="Times New Roman" w:hAnsi="Times New Roman"/>
          <w:lang w:val="en-CA"/>
        </w:rPr>
        <w:t xml:space="preserve"> delay</w:t>
      </w:r>
      <w:r w:rsidR="00506B24" w:rsidRPr="00401D4E">
        <w:rPr>
          <w:rFonts w:ascii="Times New Roman" w:hAnsi="Times New Roman"/>
          <w:lang w:val="en-CA"/>
        </w:rPr>
        <w:t xml:space="preserve"> and </w:t>
      </w:r>
      <w:r>
        <w:rPr>
          <w:rFonts w:ascii="Times New Roman" w:hAnsi="Times New Roman"/>
          <w:lang w:val="en-CA"/>
        </w:rPr>
        <w:t xml:space="preserve">robust to </w:t>
      </w:r>
      <w:r w:rsidR="00506B24" w:rsidRPr="00401D4E">
        <w:rPr>
          <w:rFonts w:ascii="Times New Roman" w:hAnsi="Times New Roman"/>
          <w:lang w:val="en-CA"/>
        </w:rPr>
        <w:t xml:space="preserve">whether individuals </w:t>
      </w:r>
      <w:r w:rsidR="005B271E">
        <w:rPr>
          <w:rFonts w:ascii="Times New Roman" w:hAnsi="Times New Roman"/>
          <w:lang w:val="en-CA"/>
        </w:rPr>
        <w:t xml:space="preserve">actually </w:t>
      </w:r>
      <w:r w:rsidR="00506B24" w:rsidRPr="00401D4E">
        <w:rPr>
          <w:rFonts w:ascii="Times New Roman" w:hAnsi="Times New Roman"/>
          <w:lang w:val="en-CA"/>
        </w:rPr>
        <w:t xml:space="preserve">suffer </w:t>
      </w:r>
      <w:r w:rsidR="005B271E">
        <w:rPr>
          <w:rFonts w:ascii="Times New Roman" w:hAnsi="Times New Roman"/>
          <w:lang w:val="en-CA"/>
        </w:rPr>
        <w:t>the</w:t>
      </w:r>
      <w:r w:rsidR="00506B24" w:rsidRPr="00401D4E">
        <w:rPr>
          <w:rFonts w:ascii="Times New Roman" w:hAnsi="Times New Roman"/>
          <w:lang w:val="en-CA"/>
        </w:rPr>
        <w:t xml:space="preserve"> </w:t>
      </w:r>
      <w:r w:rsidR="00E27FC3">
        <w:rPr>
          <w:rFonts w:ascii="Times New Roman" w:hAnsi="Times New Roman"/>
          <w:lang w:val="en-CA"/>
        </w:rPr>
        <w:t>large</w:t>
      </w:r>
      <w:r w:rsidR="00E27FC3" w:rsidRPr="00401D4E">
        <w:rPr>
          <w:rFonts w:ascii="Times New Roman" w:hAnsi="Times New Roman"/>
          <w:lang w:val="en-CA"/>
        </w:rPr>
        <w:t xml:space="preserve"> </w:t>
      </w:r>
      <w:r w:rsidR="00506B24" w:rsidRPr="00401D4E">
        <w:rPr>
          <w:rFonts w:ascii="Times New Roman" w:hAnsi="Times New Roman"/>
          <w:lang w:val="en-CA"/>
        </w:rPr>
        <w:t>loss</w:t>
      </w:r>
      <w:r w:rsidR="005B271E">
        <w:rPr>
          <w:rFonts w:ascii="Times New Roman" w:hAnsi="Times New Roman"/>
          <w:lang w:val="en-CA"/>
        </w:rPr>
        <w:t xml:space="preserve"> or not</w:t>
      </w:r>
      <w:r w:rsidR="00506B24" w:rsidRPr="00401D4E">
        <w:rPr>
          <w:rFonts w:ascii="Times New Roman" w:hAnsi="Times New Roman"/>
          <w:lang w:val="en-CA"/>
        </w:rPr>
        <w:t xml:space="preserve">. </w:t>
      </w:r>
    </w:p>
    <w:p w14:paraId="136DD94B" w14:textId="2F9D3484" w:rsidR="00506B24" w:rsidRPr="00506B24" w:rsidRDefault="007F45F2" w:rsidP="00506B24">
      <w:pPr>
        <w:spacing w:line="480" w:lineRule="auto"/>
        <w:ind w:firstLine="720"/>
        <w:rPr>
          <w:rFonts w:ascii="Times New Roman" w:hAnsi="Times New Roman"/>
          <w:lang w:val="en-CA"/>
        </w:rPr>
      </w:pPr>
      <w:r>
        <w:rPr>
          <w:rFonts w:ascii="Times New Roman" w:hAnsi="Times New Roman"/>
          <w:lang w:val="en-CA"/>
        </w:rPr>
        <w:t xml:space="preserve">In addition to broadening the number of </w:t>
      </w:r>
      <w:r w:rsidRPr="00511D2D">
        <w:rPr>
          <w:rFonts w:ascii="Times New Roman" w:hAnsi="Times New Roman"/>
          <w:i/>
          <w:iCs/>
          <w:lang w:val="en-CA"/>
        </w:rPr>
        <w:t>outcomes</w:t>
      </w:r>
      <w:r>
        <w:rPr>
          <w:rFonts w:ascii="Times New Roman" w:hAnsi="Times New Roman"/>
          <w:lang w:val="en-CA"/>
        </w:rPr>
        <w:t xml:space="preserve"> under consideration, </w:t>
      </w:r>
      <w:r w:rsidR="009700CB">
        <w:rPr>
          <w:rFonts w:ascii="Times New Roman" w:hAnsi="Times New Roman"/>
          <w:lang w:val="en-CA"/>
        </w:rPr>
        <w:t>increasing</w:t>
      </w:r>
      <w:r w:rsidRPr="00401D4E">
        <w:rPr>
          <w:rFonts w:ascii="Times New Roman" w:hAnsi="Times New Roman"/>
          <w:lang w:val="en-CA"/>
        </w:rPr>
        <w:t xml:space="preserve"> </w:t>
      </w:r>
      <w:r w:rsidR="00506B24" w:rsidRPr="00401D4E">
        <w:rPr>
          <w:rFonts w:ascii="Times New Roman" w:hAnsi="Times New Roman"/>
          <w:lang w:val="en-CA"/>
        </w:rPr>
        <w:t xml:space="preserve">the time-horizon </w:t>
      </w:r>
      <w:r w:rsidR="005B10DD">
        <w:rPr>
          <w:rFonts w:ascii="Times New Roman" w:hAnsi="Times New Roman"/>
          <w:lang w:val="en-CA"/>
        </w:rPr>
        <w:t>also broadens</w:t>
      </w:r>
      <w:r w:rsidR="00506B24" w:rsidRPr="00401D4E">
        <w:rPr>
          <w:rFonts w:ascii="Times New Roman" w:hAnsi="Times New Roman"/>
          <w:lang w:val="en-CA"/>
        </w:rPr>
        <w:t xml:space="preserve"> </w:t>
      </w:r>
      <w:r w:rsidR="005B10DD">
        <w:rPr>
          <w:rFonts w:ascii="Times New Roman" w:hAnsi="Times New Roman"/>
          <w:lang w:val="en-CA"/>
        </w:rPr>
        <w:t xml:space="preserve">the number of </w:t>
      </w:r>
      <w:r w:rsidR="005B10DD" w:rsidRPr="00511D2D">
        <w:rPr>
          <w:rFonts w:ascii="Times New Roman" w:hAnsi="Times New Roman"/>
          <w:i/>
          <w:iCs/>
          <w:lang w:val="en-CA"/>
        </w:rPr>
        <w:t>choices</w:t>
      </w:r>
      <w:r w:rsidR="005B10DD">
        <w:rPr>
          <w:rFonts w:ascii="Times New Roman" w:hAnsi="Times New Roman"/>
          <w:lang w:val="en-CA"/>
        </w:rPr>
        <w:t xml:space="preserve"> under consideration.</w:t>
      </w:r>
      <w:r w:rsidR="002112B6">
        <w:rPr>
          <w:rFonts w:ascii="Times New Roman" w:hAnsi="Times New Roman"/>
          <w:lang w:val="en-CA"/>
        </w:rPr>
        <w:t xml:space="preserve"> </w:t>
      </w:r>
      <w:r w:rsidR="005B10DD">
        <w:rPr>
          <w:rFonts w:ascii="Times New Roman" w:hAnsi="Times New Roman"/>
          <w:lang w:val="en-CA"/>
        </w:rPr>
        <w:t xml:space="preserve">“Choice bracketing” refers to </w:t>
      </w:r>
      <w:r w:rsidR="009700CB" w:rsidRPr="009B434A">
        <w:rPr>
          <w:rFonts w:ascii="Times New Roman" w:hAnsi="Times New Roman"/>
        </w:rPr>
        <w:t xml:space="preserve">where repeated decisions </w:t>
      </w:r>
      <w:r w:rsidR="009700CB">
        <w:rPr>
          <w:rFonts w:ascii="Times New Roman" w:hAnsi="Times New Roman"/>
        </w:rPr>
        <w:t>are</w:t>
      </w:r>
      <w:r w:rsidR="009700CB" w:rsidRPr="009B434A">
        <w:rPr>
          <w:rFonts w:ascii="Times New Roman" w:hAnsi="Times New Roman"/>
        </w:rPr>
        <w:t xml:space="preserve"> mentally represented as either a series of one-off, individual choices (</w:t>
      </w:r>
      <w:proofErr w:type="spellStart"/>
      <w:r w:rsidR="009700CB" w:rsidRPr="009B434A">
        <w:rPr>
          <w:rFonts w:ascii="Times New Roman" w:hAnsi="Times New Roman"/>
        </w:rPr>
        <w:t>ie</w:t>
      </w:r>
      <w:proofErr w:type="spellEnd"/>
      <w:r w:rsidR="009700CB" w:rsidRPr="009B434A">
        <w:rPr>
          <w:rFonts w:ascii="Times New Roman" w:hAnsi="Times New Roman"/>
        </w:rPr>
        <w:t xml:space="preserve">, narrow bracketing) or as a single, combined set of </w:t>
      </w:r>
      <w:r w:rsidR="009700CB" w:rsidRPr="009B434A">
        <w:rPr>
          <w:rFonts w:ascii="Times New Roman" w:hAnsi="Times New Roman"/>
        </w:rPr>
        <w:lastRenderedPageBreak/>
        <w:t>choices (broad bracketing)</w:t>
      </w:r>
      <w:r w:rsidR="005B10DD">
        <w:rPr>
          <w:rFonts w:ascii="Times New Roman" w:hAnsi="Times New Roman"/>
          <w:lang w:val="en-CA"/>
        </w:rPr>
        <w:t xml:space="preserve"> </w:t>
      </w:r>
      <w:r w:rsidR="005B10DD">
        <w:rPr>
          <w:rFonts w:ascii="Times New Roman" w:hAnsi="Times New Roman"/>
          <w:lang w:val="en-CA"/>
        </w:rPr>
        <w:fldChar w:fldCharType="begin" w:fldLock="1"/>
      </w:r>
      <w:r w:rsidR="005B10DD">
        <w:rPr>
          <w:rFonts w:ascii="Times New Roman" w:hAnsi="Times New Roman"/>
          <w:lang w:val="en-CA"/>
        </w:rPr>
        <w:instrText>ADDIN CSL_CITATION {"citationItems":[{"id":"ITEM-1","itemData":{"DOI":"10.1023/A:1007879411489","ISSN":"1573-0476","abstract":"When making many choices, a person can broadly bracket them by assessing the consequences of all of them taken together, or narrowly bracket them by making each choice in isolation. We integrate research conducted in a wide range of decision contexts which shows that choice bracketing is an important determinant of behavior. Because broad bracketing allows people to take into account all the consequences of their actions, it generally leads to choices that yield higher utility. The evidence that we review, however, shows that people often fail to bracket broadly when it would be feasible for them to do so. In addition to documenting the diverse effects of bracketing, we also discuss factors that determine whether people bracket narrowly or broadly. We conclude with a discussion of normative aspects of bracketing and argue that there are some situations in which narrower bracketing results in superior decision making.","author":[{"dropping-particle":"","family":"Read","given":"Daniel","non-dropping-particle":"","parse-names":false,"suffix":""},{"dropping-particle":"","family":"Loewenstein","given":"George","non-dropping-particle":"","parse-names":false,"suffix":""},{"dropping-particle":"","family":"Rabin","given":"Matthew","non-dropping-particle":"","parse-names":false,"suffix":""}],"container-title":"Journal of Risk and Uncertainty","id":"ITEM-1","issue":"1","issued":{"date-parts":[["1999"]]},"page":"171-197","title":"Choice Bracketing","type":"article-journal","volume":"19"},"uris":["http://www.mendeley.com/documents/?uuid=89129a65-5490-4a7e-8a14-5eb30493713e"]}],"mendeley":{"formattedCitation":"(Read et al., 1999)","plainTextFormattedCitation":"(Read et al., 1999)","previouslyFormattedCitation":"(Read et al. 1999)"},"properties":{"noteIndex":0},"schema":"https://github.com/citation-style-language/schema/raw/master/csl-citation.json"}</w:instrText>
      </w:r>
      <w:r w:rsidR="005B10DD">
        <w:rPr>
          <w:rFonts w:ascii="Times New Roman" w:hAnsi="Times New Roman"/>
          <w:lang w:val="en-CA"/>
        </w:rPr>
        <w:fldChar w:fldCharType="separate"/>
      </w:r>
      <w:r w:rsidR="005B10DD" w:rsidRPr="005B1C17">
        <w:rPr>
          <w:rFonts w:ascii="Times New Roman" w:hAnsi="Times New Roman"/>
          <w:noProof/>
          <w:lang w:val="en-CA"/>
        </w:rPr>
        <w:t>(Read et al., 1999)</w:t>
      </w:r>
      <w:r w:rsidR="005B10DD">
        <w:rPr>
          <w:rFonts w:ascii="Times New Roman" w:hAnsi="Times New Roman"/>
          <w:lang w:val="en-CA"/>
        </w:rPr>
        <w:fldChar w:fldCharType="end"/>
      </w:r>
      <w:r w:rsidR="00506B24" w:rsidRPr="00401D4E">
        <w:rPr>
          <w:rFonts w:ascii="Times New Roman" w:hAnsi="Times New Roman"/>
          <w:lang w:val="en-CA"/>
        </w:rPr>
        <w:t xml:space="preserve">. When it comes to smoking, the positive utility of </w:t>
      </w:r>
      <w:r w:rsidR="009700CB">
        <w:rPr>
          <w:rFonts w:ascii="Times New Roman" w:hAnsi="Times New Roman"/>
          <w:lang w:val="en-CA"/>
        </w:rPr>
        <w:t xml:space="preserve">choosing to smoke </w:t>
      </w:r>
      <w:r w:rsidR="00506B24" w:rsidRPr="00401D4E">
        <w:rPr>
          <w:rFonts w:ascii="Times New Roman" w:hAnsi="Times New Roman"/>
          <w:lang w:val="en-CA"/>
        </w:rPr>
        <w:t xml:space="preserve">one single cigarette may outweigh the </w:t>
      </w:r>
      <w:r w:rsidR="005B10DD">
        <w:rPr>
          <w:rFonts w:ascii="Times New Roman" w:hAnsi="Times New Roman"/>
          <w:lang w:val="en-CA"/>
        </w:rPr>
        <w:t xml:space="preserve">tiny </w:t>
      </w:r>
      <w:r w:rsidR="00506B24" w:rsidRPr="00401D4E">
        <w:rPr>
          <w:rFonts w:ascii="Times New Roman" w:hAnsi="Times New Roman"/>
          <w:lang w:val="en-CA"/>
        </w:rPr>
        <w:t>health risk it brings about</w:t>
      </w:r>
      <w:r w:rsidR="009700CB">
        <w:rPr>
          <w:rFonts w:ascii="Times New Roman" w:hAnsi="Times New Roman"/>
          <w:lang w:val="en-CA"/>
        </w:rPr>
        <w:t xml:space="preserve"> and the person may choose to smoke a single cigarette</w:t>
      </w:r>
      <w:r w:rsidR="00506B24" w:rsidRPr="00401D4E">
        <w:rPr>
          <w:rFonts w:ascii="Times New Roman" w:hAnsi="Times New Roman"/>
          <w:lang w:val="en-CA"/>
        </w:rPr>
        <w:t>. However, if 3</w:t>
      </w:r>
      <w:r w:rsidR="005B10DD">
        <w:rPr>
          <w:rFonts w:ascii="Times New Roman" w:hAnsi="Times New Roman"/>
          <w:lang w:val="en-CA"/>
        </w:rPr>
        <w:t>,</w:t>
      </w:r>
      <w:r w:rsidR="00506B24" w:rsidRPr="00401D4E">
        <w:rPr>
          <w:rFonts w:ascii="Times New Roman" w:hAnsi="Times New Roman"/>
          <w:lang w:val="en-CA"/>
        </w:rPr>
        <w:t xml:space="preserve">700 individual decisions of smoking a cigarette over a year (one pack per day) are bracketed together and the aggregate </w:t>
      </w:r>
      <w:r w:rsidR="009700CB">
        <w:rPr>
          <w:rFonts w:ascii="Times New Roman" w:hAnsi="Times New Roman"/>
          <w:lang w:val="en-CA"/>
        </w:rPr>
        <w:t xml:space="preserve">pleasure and </w:t>
      </w:r>
      <w:r w:rsidR="00506B24" w:rsidRPr="00401D4E">
        <w:rPr>
          <w:rFonts w:ascii="Times New Roman" w:hAnsi="Times New Roman"/>
          <w:lang w:val="en-CA"/>
        </w:rPr>
        <w:t xml:space="preserve">health risk </w:t>
      </w:r>
      <w:r w:rsidR="009700CB">
        <w:rPr>
          <w:rFonts w:ascii="Times New Roman" w:hAnsi="Times New Roman"/>
          <w:lang w:val="en-CA"/>
        </w:rPr>
        <w:t>are</w:t>
      </w:r>
      <w:r w:rsidR="009700CB" w:rsidRPr="00401D4E">
        <w:rPr>
          <w:rFonts w:ascii="Times New Roman" w:hAnsi="Times New Roman"/>
          <w:lang w:val="en-CA"/>
        </w:rPr>
        <w:t xml:space="preserve"> </w:t>
      </w:r>
      <w:r w:rsidR="00506B24" w:rsidRPr="00401D4E">
        <w:rPr>
          <w:rFonts w:ascii="Times New Roman" w:hAnsi="Times New Roman"/>
          <w:lang w:val="en-CA"/>
        </w:rPr>
        <w:t xml:space="preserve">considered, the </w:t>
      </w:r>
      <w:r w:rsidR="009700CB">
        <w:rPr>
          <w:rFonts w:ascii="Times New Roman" w:hAnsi="Times New Roman"/>
          <w:lang w:val="en-CA"/>
        </w:rPr>
        <w:t>same individual may choose to forgo smoking altogether</w:t>
      </w:r>
      <w:r w:rsidR="00506B24" w:rsidRPr="00401D4E">
        <w:rPr>
          <w:rFonts w:ascii="Times New Roman" w:hAnsi="Times New Roman"/>
          <w:lang w:val="en-CA"/>
        </w:rPr>
        <w:t xml:space="preserve"> </w:t>
      </w:r>
      <w:r w:rsidR="00B92D0B">
        <w:rPr>
          <w:rFonts w:ascii="Times New Roman" w:hAnsi="Times New Roman"/>
          <w:lang w:val="en-CA"/>
        </w:rPr>
        <w:fldChar w:fldCharType="begin" w:fldLock="1"/>
      </w:r>
      <w:r w:rsidR="005B1C17">
        <w:rPr>
          <w:rFonts w:ascii="Times New Roman" w:hAnsi="Times New Roman"/>
          <w:lang w:val="en-CA"/>
        </w:rPr>
        <w:instrText>ADDIN CSL_CITATION {"citationItems":[{"id":"ITEM-1","itemData":{"DOI":"10.1023/A:1007879411489","ISSN":"1573-0476","abstract":"When making many choices, a person can broadly bracket them by assessing the consequences of all of them taken together, or narrowly bracket them by making each choice in isolation. We integrate research conducted in a wide range of decision contexts which shows that choice bracketing is an important determinant of behavior. Because broad bracketing allows people to take into account all the consequences of their actions, it generally leads to choices that yield higher utility. The evidence that we review, however, shows that people often fail to bracket broadly when it would be feasible for them to do so. In addition to documenting the diverse effects of bracketing, we also discuss factors that determine whether people bracket narrowly or broadly. We conclude with a discussion of normative aspects of bracketing and argue that there are some situations in which narrower bracketing results in superior decision making.","author":[{"dropping-particle":"","family":"Read","given":"Daniel","non-dropping-particle":"","parse-names":false,"suffix":""},{"dropping-particle":"","family":"Loewenstein","given":"George","non-dropping-particle":"","parse-names":false,"suffix":""},{"dropping-particle":"","family":"Rabin","given":"Matthew","non-dropping-particle":"","parse-names":false,"suffix":""}],"container-title":"Journal of Risk and Uncertainty","id":"ITEM-1","issue":"1","issued":{"date-parts":[["1999"]]},"page":"171-197","title":"Choice Bracketing","type":"article-journal","volume":"19"},"uris":["http://www.mendeley.com/documents/?uuid=89129a65-5490-4a7e-8a14-5eb30493713e"]}],"mendeley":{"formattedCitation":"(Read et al., 1999)","plainTextFormattedCitation":"(Read et al., 1999)","previouslyFormattedCitation":"(Read et al. 1999)"},"properties":{"noteIndex":0},"schema":"https://github.com/citation-style-language/schema/raw/master/csl-citation.json"}</w:instrText>
      </w:r>
      <w:r w:rsidR="00B92D0B">
        <w:rPr>
          <w:rFonts w:ascii="Times New Roman" w:hAnsi="Times New Roman"/>
          <w:lang w:val="en-CA"/>
        </w:rPr>
        <w:fldChar w:fldCharType="separate"/>
      </w:r>
      <w:r w:rsidR="005B1C17" w:rsidRPr="005B1C17">
        <w:rPr>
          <w:rFonts w:ascii="Times New Roman" w:hAnsi="Times New Roman"/>
          <w:noProof/>
          <w:lang w:val="en-CA"/>
        </w:rPr>
        <w:t>(Read et al., 1999)</w:t>
      </w:r>
      <w:r w:rsidR="00B92D0B">
        <w:rPr>
          <w:rFonts w:ascii="Times New Roman" w:hAnsi="Times New Roman"/>
          <w:lang w:val="en-CA"/>
        </w:rPr>
        <w:fldChar w:fldCharType="end"/>
      </w:r>
      <w:r w:rsidR="00506B24" w:rsidRPr="00401D4E">
        <w:rPr>
          <w:rFonts w:ascii="Times New Roman" w:hAnsi="Times New Roman"/>
          <w:lang w:val="en-CA"/>
        </w:rPr>
        <w:t>.</w:t>
      </w:r>
    </w:p>
    <w:p w14:paraId="1E44F609" w14:textId="2CA63EBF" w:rsidR="00AA046D" w:rsidRDefault="005A5E77" w:rsidP="00511D2D">
      <w:pPr>
        <w:spacing w:line="480" w:lineRule="auto"/>
        <w:rPr>
          <w:rFonts w:ascii="Times New Roman" w:hAnsi="Times New Roman"/>
        </w:rPr>
      </w:pPr>
      <w:r w:rsidRPr="002208A3">
        <w:rPr>
          <w:rFonts w:ascii="Times New Roman" w:hAnsi="Times New Roman"/>
        </w:rPr>
        <w:tab/>
      </w:r>
      <w:r w:rsidR="00506824" w:rsidRPr="002208A3">
        <w:rPr>
          <w:rFonts w:ascii="Times New Roman" w:hAnsi="Times New Roman"/>
        </w:rPr>
        <w:t xml:space="preserve">Similarly, in real-world </w:t>
      </w:r>
      <w:r w:rsidR="00371E30" w:rsidRPr="00511D2D">
        <w:rPr>
          <w:rFonts w:ascii="Times New Roman" w:hAnsi="Times New Roman"/>
        </w:rPr>
        <w:t>social dilemmas</w:t>
      </w:r>
      <w:r w:rsidR="00506824" w:rsidRPr="002208A3">
        <w:rPr>
          <w:rFonts w:ascii="Times New Roman" w:hAnsi="Times New Roman"/>
        </w:rPr>
        <w:t xml:space="preserve">, </w:t>
      </w:r>
      <w:r w:rsidR="004C39F3" w:rsidRPr="002208A3">
        <w:rPr>
          <w:rFonts w:ascii="Times New Roman" w:hAnsi="Times New Roman"/>
        </w:rPr>
        <w:t>decision makers</w:t>
      </w:r>
      <w:r w:rsidR="00506824" w:rsidRPr="002208A3">
        <w:rPr>
          <w:rFonts w:ascii="Times New Roman" w:hAnsi="Times New Roman"/>
        </w:rPr>
        <w:t xml:space="preserve"> </w:t>
      </w:r>
      <w:r w:rsidR="004C39F3" w:rsidRPr="002208A3">
        <w:rPr>
          <w:rFonts w:ascii="Times New Roman" w:hAnsi="Times New Roman"/>
        </w:rPr>
        <w:t xml:space="preserve">may </w:t>
      </w:r>
      <w:r w:rsidR="00506824" w:rsidRPr="002208A3">
        <w:rPr>
          <w:rFonts w:ascii="Times New Roman" w:hAnsi="Times New Roman"/>
        </w:rPr>
        <w:t>make different ch</w:t>
      </w:r>
      <w:r w:rsidR="002D5C37" w:rsidRPr="002208A3">
        <w:rPr>
          <w:rFonts w:ascii="Times New Roman" w:hAnsi="Times New Roman"/>
        </w:rPr>
        <w:t>oices when considering one, five, or twenty</w:t>
      </w:r>
      <w:r w:rsidR="00506824" w:rsidRPr="002208A3">
        <w:rPr>
          <w:rFonts w:ascii="Times New Roman" w:hAnsi="Times New Roman"/>
        </w:rPr>
        <w:t xml:space="preserve"> </w:t>
      </w:r>
      <w:r w:rsidR="002D5C37" w:rsidRPr="002208A3">
        <w:rPr>
          <w:rFonts w:ascii="Times New Roman" w:hAnsi="Times New Roman"/>
        </w:rPr>
        <w:t xml:space="preserve">years </w:t>
      </w:r>
      <w:r w:rsidR="00506824" w:rsidRPr="002208A3">
        <w:rPr>
          <w:rFonts w:ascii="Times New Roman" w:hAnsi="Times New Roman"/>
        </w:rPr>
        <w:t xml:space="preserve">of </w:t>
      </w:r>
      <w:r w:rsidR="005B10DD">
        <w:rPr>
          <w:rFonts w:ascii="Times New Roman" w:hAnsi="Times New Roman"/>
          <w:noProof/>
        </w:rPr>
        <w:t>actions</w:t>
      </w:r>
      <w:r w:rsidR="00506824" w:rsidRPr="002208A3">
        <w:rPr>
          <w:rFonts w:ascii="Times New Roman" w:hAnsi="Times New Roman"/>
        </w:rPr>
        <w:t xml:space="preserve">. </w:t>
      </w:r>
      <w:r w:rsidR="002D5C37" w:rsidRPr="002208A3">
        <w:rPr>
          <w:rFonts w:ascii="Times New Roman" w:hAnsi="Times New Roman"/>
        </w:rPr>
        <w:t xml:space="preserve">For example, a </w:t>
      </w:r>
      <w:r w:rsidR="009C3177">
        <w:rPr>
          <w:rFonts w:ascii="Times New Roman" w:hAnsi="Times New Roman"/>
        </w:rPr>
        <w:t>homeowner in a wildfire-prone region such as California</w:t>
      </w:r>
      <w:r w:rsidR="009C3177" w:rsidRPr="002208A3">
        <w:rPr>
          <w:rFonts w:ascii="Times New Roman" w:hAnsi="Times New Roman"/>
        </w:rPr>
        <w:t xml:space="preserve"> </w:t>
      </w:r>
      <w:r w:rsidR="009C3177">
        <w:rPr>
          <w:rFonts w:ascii="Times New Roman" w:hAnsi="Times New Roman"/>
        </w:rPr>
        <w:t xml:space="preserve">must decide each year whether to invest their time and money in fire protection through activities such as </w:t>
      </w:r>
      <w:r w:rsidR="009C3177" w:rsidRPr="009C3177">
        <w:rPr>
          <w:rFonts w:ascii="Times New Roman" w:hAnsi="Times New Roman"/>
        </w:rPr>
        <w:t xml:space="preserve">clearing vegetation and flammable materials around </w:t>
      </w:r>
      <w:r w:rsidR="009C3177">
        <w:rPr>
          <w:rFonts w:ascii="Times New Roman" w:hAnsi="Times New Roman"/>
        </w:rPr>
        <w:t>their home, or maintaining fire suppression systems</w:t>
      </w:r>
      <w:r w:rsidR="002D5C37" w:rsidRPr="002208A3">
        <w:rPr>
          <w:rFonts w:ascii="Times New Roman" w:hAnsi="Times New Roman"/>
        </w:rPr>
        <w:t xml:space="preserve">. </w:t>
      </w:r>
      <w:r w:rsidR="00CF228D" w:rsidRPr="002208A3">
        <w:rPr>
          <w:rFonts w:ascii="Times New Roman" w:hAnsi="Times New Roman"/>
        </w:rPr>
        <w:t xml:space="preserve">The chance of a </w:t>
      </w:r>
      <w:r w:rsidR="009C3177">
        <w:rPr>
          <w:rFonts w:ascii="Times New Roman" w:hAnsi="Times New Roman"/>
        </w:rPr>
        <w:t>wildfire spreading</w:t>
      </w:r>
      <w:r w:rsidR="00CF228D" w:rsidRPr="002208A3">
        <w:rPr>
          <w:rFonts w:ascii="Times New Roman" w:hAnsi="Times New Roman"/>
        </w:rPr>
        <w:t xml:space="preserve"> depends not only on what the </w:t>
      </w:r>
      <w:r w:rsidR="009C3177">
        <w:rPr>
          <w:rFonts w:ascii="Times New Roman" w:hAnsi="Times New Roman"/>
        </w:rPr>
        <w:t>individual homeowner</w:t>
      </w:r>
      <w:r w:rsidR="00CF228D" w:rsidRPr="002208A3">
        <w:rPr>
          <w:rFonts w:ascii="Times New Roman" w:hAnsi="Times New Roman"/>
        </w:rPr>
        <w:t xml:space="preserve"> does, but also on the security precautions of </w:t>
      </w:r>
      <w:r w:rsidR="009C3177">
        <w:rPr>
          <w:rFonts w:ascii="Times New Roman" w:hAnsi="Times New Roman"/>
        </w:rPr>
        <w:t>their neighbors</w:t>
      </w:r>
      <w:r w:rsidR="00CF228D" w:rsidRPr="002208A3">
        <w:rPr>
          <w:rFonts w:ascii="Times New Roman" w:hAnsi="Times New Roman"/>
        </w:rPr>
        <w:t xml:space="preserve">. </w:t>
      </w:r>
      <w:r w:rsidR="009C3177">
        <w:rPr>
          <w:rFonts w:ascii="Times New Roman" w:hAnsi="Times New Roman"/>
        </w:rPr>
        <w:t>I</w:t>
      </w:r>
      <w:r w:rsidR="00CF228D" w:rsidRPr="002208A3">
        <w:rPr>
          <w:rFonts w:ascii="Times New Roman" w:hAnsi="Times New Roman"/>
        </w:rPr>
        <w:t xml:space="preserve">f most </w:t>
      </w:r>
      <w:r w:rsidR="009C3177">
        <w:rPr>
          <w:rFonts w:ascii="Times New Roman" w:hAnsi="Times New Roman"/>
        </w:rPr>
        <w:t>homeowners in an area engage in rigorous fire protection</w:t>
      </w:r>
      <w:r w:rsidR="00CF228D" w:rsidRPr="002208A3">
        <w:rPr>
          <w:rFonts w:ascii="Times New Roman" w:hAnsi="Times New Roman"/>
        </w:rPr>
        <w:t xml:space="preserve">, </w:t>
      </w:r>
      <w:r w:rsidR="002D7B68" w:rsidRPr="002208A3">
        <w:rPr>
          <w:rFonts w:ascii="Times New Roman" w:hAnsi="Times New Roman"/>
        </w:rPr>
        <w:t xml:space="preserve">a particular </w:t>
      </w:r>
      <w:r w:rsidR="009C3177">
        <w:rPr>
          <w:rFonts w:ascii="Times New Roman" w:hAnsi="Times New Roman"/>
        </w:rPr>
        <w:t>homeowner</w:t>
      </w:r>
      <w:r w:rsidR="002D7B68" w:rsidRPr="002208A3">
        <w:rPr>
          <w:rFonts w:ascii="Times New Roman" w:hAnsi="Times New Roman"/>
        </w:rPr>
        <w:t xml:space="preserve"> may </w:t>
      </w:r>
      <w:r w:rsidR="00CF228D" w:rsidRPr="002208A3">
        <w:rPr>
          <w:rFonts w:ascii="Times New Roman" w:hAnsi="Times New Roman"/>
        </w:rPr>
        <w:t xml:space="preserve">be able to free-ride on the </w:t>
      </w:r>
      <w:r w:rsidR="009C3177">
        <w:rPr>
          <w:rFonts w:ascii="Times New Roman" w:hAnsi="Times New Roman"/>
        </w:rPr>
        <w:t>protection of</w:t>
      </w:r>
      <w:r w:rsidR="00CF228D" w:rsidRPr="002208A3">
        <w:rPr>
          <w:rFonts w:ascii="Times New Roman" w:hAnsi="Times New Roman"/>
        </w:rPr>
        <w:t xml:space="preserve"> the others </w:t>
      </w:r>
      <w:r w:rsidR="009C3177">
        <w:rPr>
          <w:rFonts w:ascii="Times New Roman" w:hAnsi="Times New Roman"/>
        </w:rPr>
        <w:t xml:space="preserve">and enjoy lower risk of wildfire spreading to their own home even </w:t>
      </w:r>
      <w:r w:rsidR="00CF228D" w:rsidRPr="002208A3">
        <w:rPr>
          <w:rFonts w:ascii="Times New Roman" w:hAnsi="Times New Roman"/>
        </w:rPr>
        <w:t xml:space="preserve">without investing in </w:t>
      </w:r>
      <w:r w:rsidR="009C3177">
        <w:rPr>
          <w:rFonts w:ascii="Times New Roman" w:hAnsi="Times New Roman"/>
        </w:rPr>
        <w:t>protection themselves</w:t>
      </w:r>
      <w:r w:rsidR="00CF228D" w:rsidRPr="002208A3">
        <w:rPr>
          <w:rFonts w:ascii="Times New Roman" w:hAnsi="Times New Roman"/>
        </w:rPr>
        <w:t xml:space="preserve">. </w:t>
      </w:r>
      <w:r w:rsidR="00C50807">
        <w:rPr>
          <w:rFonts w:ascii="Times New Roman" w:hAnsi="Times New Roman"/>
        </w:rPr>
        <w:t>In these situations</w:t>
      </w:r>
      <w:r w:rsidR="006E2F61" w:rsidRPr="009B434A">
        <w:rPr>
          <w:rFonts w:ascii="Times New Roman" w:hAnsi="Times New Roman"/>
        </w:rPr>
        <w:t>, precommitment may be used as a form of choice-bracketing</w:t>
      </w:r>
      <w:r w:rsidR="001204E8">
        <w:rPr>
          <w:rFonts w:ascii="Times New Roman" w:hAnsi="Times New Roman"/>
        </w:rPr>
        <w:t xml:space="preserve"> </w:t>
      </w:r>
      <w:r w:rsidR="001204E8">
        <w:rPr>
          <w:rFonts w:ascii="Times New Roman" w:hAnsi="Times New Roman"/>
        </w:rPr>
        <w:fldChar w:fldCharType="begin" w:fldLock="1"/>
      </w:r>
      <w:r w:rsidR="005B1C17">
        <w:rPr>
          <w:rFonts w:ascii="Times New Roman" w:hAnsi="Times New Roman"/>
        </w:rPr>
        <w:instrText>ADDIN CSL_CITATION {"citationItems":[{"id":"ITEM-1","itemData":{"DOI":"10.1023/A:1007879411489","ISSN":"1573-0476","abstract":"When making many choices, a person can broadly bracket them by assessing the consequences of all of them taken together, or narrowly bracket them by making each choice in isolation. We integrate research conducted in a wide range of decision contexts which shows that choice bracketing is an important determinant of behavior. Because broad bracketing allows people to take into account all the consequences of their actions, it generally leads to choices that yield higher utility. The evidence that we review, however, shows that people often fail to bracket broadly when it would be feasible for them to do so. In addition to documenting the diverse effects of bracketing, we also discuss factors that determine whether people bracket narrowly or broadly. We conclude with a discussion of normative aspects of bracketing and argue that there are some situations in which narrower bracketing results in superior decision making.","author":[{"dropping-particle":"","family":"Read","given":"Daniel","non-dropping-particle":"","parse-names":false,"suffix":""},{"dropping-particle":"","family":"Loewenstein","given":"George","non-dropping-particle":"","parse-names":false,"suffix":""},{"dropping-particle":"","family":"Rabin","given":"Matthew","non-dropping-particle":"","parse-names":false,"suffix":""}],"container-title":"Journal of Risk and Uncertainty","id":"ITEM-1","issue":"1","issued":{"date-parts":[["1999"]]},"page":"171-197","title":"Choice Bracketing","type":"article-journal","volume":"19"},"uris":["http://www.mendeley.com/documents/?uuid=89129a65-5490-4a7e-8a14-5eb30493713e"]}],"mendeley":{"formattedCitation":"(Read et al., 1999)","plainTextFormattedCitation":"(Read et al., 1999)","previouslyFormattedCitation":"(Read et al. 1999)"},"properties":{"noteIndex":0},"schema":"https://github.com/citation-style-language/schema/raw/master/csl-citation.json"}</w:instrText>
      </w:r>
      <w:r w:rsidR="001204E8">
        <w:rPr>
          <w:rFonts w:ascii="Times New Roman" w:hAnsi="Times New Roman"/>
        </w:rPr>
        <w:fldChar w:fldCharType="separate"/>
      </w:r>
      <w:r w:rsidR="005B1C17" w:rsidRPr="005B1C17">
        <w:rPr>
          <w:rFonts w:ascii="Times New Roman" w:hAnsi="Times New Roman"/>
          <w:noProof/>
        </w:rPr>
        <w:t>(Read et al., 1999)</w:t>
      </w:r>
      <w:r w:rsidR="001204E8">
        <w:rPr>
          <w:rFonts w:ascii="Times New Roman" w:hAnsi="Times New Roman"/>
        </w:rPr>
        <w:fldChar w:fldCharType="end"/>
      </w:r>
      <w:r w:rsidR="006E2F61" w:rsidRPr="009B434A">
        <w:rPr>
          <w:rFonts w:ascii="Times New Roman" w:hAnsi="Times New Roman"/>
        </w:rPr>
        <w:t>. Precommitment naturally lends itself to broad-bracketing</w:t>
      </w:r>
      <w:r w:rsidR="00E751DC" w:rsidRPr="009B434A">
        <w:rPr>
          <w:rFonts w:ascii="Times New Roman" w:hAnsi="Times New Roman"/>
        </w:rPr>
        <w:t xml:space="preserve"> of decisions, and thus may improve long-term, holistic thinking and cooperation</w:t>
      </w:r>
      <w:r w:rsidR="00422EB7">
        <w:rPr>
          <w:rFonts w:ascii="Times New Roman" w:hAnsi="Times New Roman"/>
        </w:rPr>
        <w:t>: t</w:t>
      </w:r>
      <w:r w:rsidR="00422EB7" w:rsidRPr="00422EB7">
        <w:rPr>
          <w:rFonts w:ascii="Times New Roman" w:hAnsi="Times New Roman"/>
        </w:rPr>
        <w:t>he chance of a</w:t>
      </w:r>
      <w:r w:rsidR="009C3177">
        <w:rPr>
          <w:rFonts w:ascii="Times New Roman" w:hAnsi="Times New Roman"/>
        </w:rPr>
        <w:t xml:space="preserve"> wildfire in any</w:t>
      </w:r>
      <w:r w:rsidR="00422EB7" w:rsidRPr="00422EB7">
        <w:rPr>
          <w:rFonts w:ascii="Times New Roman" w:hAnsi="Times New Roman"/>
        </w:rPr>
        <w:t xml:space="preserve"> particular </w:t>
      </w:r>
      <w:r w:rsidR="009C3177">
        <w:rPr>
          <w:rFonts w:ascii="Times New Roman" w:hAnsi="Times New Roman"/>
        </w:rPr>
        <w:t>neighborhood</w:t>
      </w:r>
      <w:r w:rsidR="009C3177" w:rsidRPr="00422EB7">
        <w:rPr>
          <w:rFonts w:ascii="Times New Roman" w:hAnsi="Times New Roman"/>
        </w:rPr>
        <w:t xml:space="preserve"> </w:t>
      </w:r>
      <w:r w:rsidR="00BF1F1D">
        <w:rPr>
          <w:rFonts w:ascii="Times New Roman" w:hAnsi="Times New Roman"/>
        </w:rPr>
        <w:t xml:space="preserve">and home </w:t>
      </w:r>
      <w:r w:rsidR="00422EB7" w:rsidRPr="00422EB7">
        <w:rPr>
          <w:rFonts w:ascii="Times New Roman" w:hAnsi="Times New Roman"/>
        </w:rPr>
        <w:t>in any given year is small, and a</w:t>
      </w:r>
      <w:r w:rsidR="009C3177">
        <w:rPr>
          <w:rFonts w:ascii="Times New Roman" w:hAnsi="Times New Roman"/>
        </w:rPr>
        <w:t xml:space="preserve"> homeowner</w:t>
      </w:r>
      <w:r w:rsidR="00422EB7" w:rsidRPr="00422EB7">
        <w:rPr>
          <w:rFonts w:ascii="Times New Roman" w:hAnsi="Times New Roman"/>
        </w:rPr>
        <w:t xml:space="preserve"> considering only the </w:t>
      </w:r>
      <w:r w:rsidR="009C3177">
        <w:rPr>
          <w:rFonts w:ascii="Times New Roman" w:hAnsi="Times New Roman"/>
        </w:rPr>
        <w:t>current</w:t>
      </w:r>
      <w:r w:rsidR="009C3177" w:rsidRPr="00422EB7">
        <w:rPr>
          <w:rFonts w:ascii="Times New Roman" w:hAnsi="Times New Roman"/>
        </w:rPr>
        <w:t xml:space="preserve"> </w:t>
      </w:r>
      <w:r w:rsidR="00422EB7" w:rsidRPr="00422EB7">
        <w:rPr>
          <w:rFonts w:ascii="Times New Roman" w:hAnsi="Times New Roman"/>
        </w:rPr>
        <w:t>year</w:t>
      </w:r>
      <w:r w:rsidR="00025899">
        <w:rPr>
          <w:rFonts w:ascii="Times New Roman" w:hAnsi="Times New Roman"/>
        </w:rPr>
        <w:t xml:space="preserve"> (narrow bracketing)</w:t>
      </w:r>
      <w:r w:rsidR="00422EB7" w:rsidRPr="00422EB7">
        <w:rPr>
          <w:rFonts w:ascii="Times New Roman" w:hAnsi="Times New Roman"/>
        </w:rPr>
        <w:t xml:space="preserve"> will most often be </w:t>
      </w:r>
      <w:r w:rsidR="009C3177">
        <w:rPr>
          <w:rFonts w:ascii="Times New Roman" w:hAnsi="Times New Roman"/>
        </w:rPr>
        <w:t>rewarded</w:t>
      </w:r>
      <w:r w:rsidR="00422EB7" w:rsidRPr="00422EB7">
        <w:rPr>
          <w:rFonts w:ascii="Times New Roman" w:hAnsi="Times New Roman"/>
        </w:rPr>
        <w:t xml:space="preserve"> </w:t>
      </w:r>
      <w:r w:rsidR="009C3177">
        <w:rPr>
          <w:rFonts w:ascii="Times New Roman" w:hAnsi="Times New Roman"/>
        </w:rPr>
        <w:t>for</w:t>
      </w:r>
      <w:r w:rsidR="009C3177" w:rsidRPr="00422EB7">
        <w:rPr>
          <w:rFonts w:ascii="Times New Roman" w:hAnsi="Times New Roman"/>
        </w:rPr>
        <w:t xml:space="preserve"> </w:t>
      </w:r>
      <w:r w:rsidR="00422EB7" w:rsidRPr="00422EB7">
        <w:rPr>
          <w:rFonts w:ascii="Times New Roman" w:hAnsi="Times New Roman"/>
        </w:rPr>
        <w:t xml:space="preserve">skipping the costly </w:t>
      </w:r>
      <w:r w:rsidR="009C3177">
        <w:rPr>
          <w:rFonts w:ascii="Times New Roman" w:hAnsi="Times New Roman"/>
        </w:rPr>
        <w:t>protective measures</w:t>
      </w:r>
      <w:r w:rsidR="00422EB7" w:rsidRPr="00422EB7">
        <w:rPr>
          <w:rFonts w:ascii="Times New Roman" w:hAnsi="Times New Roman"/>
        </w:rPr>
        <w:t xml:space="preserve">. However, when </w:t>
      </w:r>
      <w:r w:rsidR="009C3177">
        <w:rPr>
          <w:rFonts w:ascii="Times New Roman" w:hAnsi="Times New Roman"/>
        </w:rPr>
        <w:t>the same homeowner considers</w:t>
      </w:r>
      <w:r w:rsidR="009C3177" w:rsidRPr="00422EB7">
        <w:rPr>
          <w:rFonts w:ascii="Times New Roman" w:hAnsi="Times New Roman"/>
        </w:rPr>
        <w:t xml:space="preserve"> </w:t>
      </w:r>
      <w:r w:rsidR="00422EB7" w:rsidRPr="00422EB7">
        <w:rPr>
          <w:rFonts w:ascii="Times New Roman" w:hAnsi="Times New Roman"/>
        </w:rPr>
        <w:t>multiple years</w:t>
      </w:r>
      <w:r w:rsidR="00025899">
        <w:rPr>
          <w:rFonts w:ascii="Times New Roman" w:hAnsi="Times New Roman"/>
        </w:rPr>
        <w:t xml:space="preserve"> (broad bracketing)</w:t>
      </w:r>
      <w:r w:rsidR="00422EB7" w:rsidRPr="00422EB7">
        <w:rPr>
          <w:rFonts w:ascii="Times New Roman" w:hAnsi="Times New Roman"/>
        </w:rPr>
        <w:t>,</w:t>
      </w:r>
      <w:r w:rsidR="00422EB7">
        <w:rPr>
          <w:rFonts w:ascii="Times New Roman" w:hAnsi="Times New Roman"/>
        </w:rPr>
        <w:t xml:space="preserve"> the aggregation of risks and costs may favor security. </w:t>
      </w:r>
    </w:p>
    <w:p w14:paraId="3F1D3719" w14:textId="298C523B" w:rsidR="00A217F1" w:rsidRDefault="009C3CF1" w:rsidP="00422EB7">
      <w:pPr>
        <w:spacing w:line="480" w:lineRule="auto"/>
        <w:ind w:firstLine="720"/>
        <w:rPr>
          <w:rFonts w:ascii="Times New Roman" w:hAnsi="Times New Roman"/>
        </w:rPr>
      </w:pPr>
      <w:r>
        <w:rPr>
          <w:rFonts w:ascii="Times New Roman" w:hAnsi="Times New Roman"/>
        </w:rPr>
        <w:lastRenderedPageBreak/>
        <w:t>Another</w:t>
      </w:r>
      <w:r w:rsidR="000C1420">
        <w:rPr>
          <w:rFonts w:ascii="Times New Roman" w:hAnsi="Times New Roman"/>
        </w:rPr>
        <w:t xml:space="preserve">, altogether different </w:t>
      </w:r>
      <w:r>
        <w:rPr>
          <w:rFonts w:ascii="Times New Roman" w:hAnsi="Times New Roman"/>
        </w:rPr>
        <w:t xml:space="preserve">impact of precommitment in social </w:t>
      </w:r>
      <w:r w:rsidR="00027ECB">
        <w:rPr>
          <w:rFonts w:ascii="Times New Roman" w:hAnsi="Times New Roman"/>
        </w:rPr>
        <w:t xml:space="preserve">dilemmas is that it </w:t>
      </w:r>
      <w:r w:rsidR="005B3D86">
        <w:rPr>
          <w:rFonts w:ascii="Times New Roman" w:hAnsi="Times New Roman"/>
        </w:rPr>
        <w:t>reduces</w:t>
      </w:r>
      <w:r w:rsidR="00027ECB">
        <w:rPr>
          <w:rFonts w:ascii="Times New Roman" w:hAnsi="Times New Roman"/>
        </w:rPr>
        <w:t xml:space="preserve"> the opportunities </w:t>
      </w:r>
      <w:r w:rsidR="005B3D86">
        <w:rPr>
          <w:rFonts w:ascii="Times New Roman" w:hAnsi="Times New Roman"/>
        </w:rPr>
        <w:t>for</w:t>
      </w:r>
      <w:r w:rsidR="00027ECB">
        <w:rPr>
          <w:rFonts w:ascii="Times New Roman" w:hAnsi="Times New Roman"/>
        </w:rPr>
        <w:t xml:space="preserve"> feedback</w:t>
      </w:r>
      <w:r w:rsidR="005B3D86">
        <w:rPr>
          <w:rFonts w:ascii="Times New Roman" w:hAnsi="Times New Roman"/>
        </w:rPr>
        <w:t xml:space="preserve"> and interaction between decision makers</w:t>
      </w:r>
      <w:r w:rsidR="00027ECB">
        <w:rPr>
          <w:rFonts w:ascii="Times New Roman" w:hAnsi="Times New Roman"/>
        </w:rPr>
        <w:t xml:space="preserve">. </w:t>
      </w:r>
      <w:r w:rsidR="005B3D86">
        <w:rPr>
          <w:rFonts w:ascii="Times New Roman" w:hAnsi="Times New Roman"/>
        </w:rPr>
        <w:t xml:space="preserve">In the case of </w:t>
      </w:r>
      <w:r w:rsidR="00BF1F1D">
        <w:rPr>
          <w:rFonts w:ascii="Times New Roman" w:hAnsi="Times New Roman"/>
        </w:rPr>
        <w:t>“</w:t>
      </w:r>
      <w:r w:rsidR="005B3D86">
        <w:rPr>
          <w:rFonts w:ascii="Times New Roman" w:hAnsi="Times New Roman"/>
        </w:rPr>
        <w:t>binding</w:t>
      </w:r>
      <w:r w:rsidR="00BF1F1D">
        <w:rPr>
          <w:rFonts w:ascii="Times New Roman" w:hAnsi="Times New Roman"/>
        </w:rPr>
        <w:t>”</w:t>
      </w:r>
      <w:r w:rsidR="005B3D86">
        <w:rPr>
          <w:rFonts w:ascii="Times New Roman" w:hAnsi="Times New Roman"/>
        </w:rPr>
        <w:t xml:space="preserve"> precommitment (which is the main focus of this manuscript), choices are made in advance for some number of rounds</w:t>
      </w:r>
      <w:r w:rsidR="00B11D60">
        <w:rPr>
          <w:rFonts w:ascii="Times New Roman" w:hAnsi="Times New Roman"/>
        </w:rPr>
        <w:t>,</w:t>
      </w:r>
      <w:r w:rsidR="00BF1F1D">
        <w:rPr>
          <w:rFonts w:ascii="Times New Roman" w:hAnsi="Times New Roman"/>
        </w:rPr>
        <w:t xml:space="preserve"> and cannot be changed</w:t>
      </w:r>
      <w:r w:rsidR="00B11D60">
        <w:rPr>
          <w:rFonts w:ascii="Times New Roman" w:hAnsi="Times New Roman"/>
        </w:rPr>
        <w:t>.</w:t>
      </w:r>
      <w:r w:rsidR="00BF1F1D">
        <w:rPr>
          <w:rFonts w:ascii="Times New Roman" w:hAnsi="Times New Roman"/>
        </w:rPr>
        <w:t xml:space="preserve"> </w:t>
      </w:r>
      <w:r w:rsidR="00B11D60">
        <w:rPr>
          <w:rFonts w:ascii="Times New Roman" w:hAnsi="Times New Roman"/>
        </w:rPr>
        <w:t>T</w:t>
      </w:r>
      <w:r w:rsidR="004B6B29">
        <w:rPr>
          <w:rFonts w:ascii="Times New Roman" w:hAnsi="Times New Roman"/>
        </w:rPr>
        <w:t>h</w:t>
      </w:r>
      <w:r w:rsidR="00B11D60">
        <w:rPr>
          <w:rFonts w:ascii="Times New Roman" w:hAnsi="Times New Roman"/>
        </w:rPr>
        <w:t>us,</w:t>
      </w:r>
      <w:r w:rsidR="00BF1F1D">
        <w:rPr>
          <w:rFonts w:ascii="Times New Roman" w:hAnsi="Times New Roman"/>
        </w:rPr>
        <w:t xml:space="preserve"> f</w:t>
      </w:r>
      <w:r w:rsidR="000C1420">
        <w:rPr>
          <w:rFonts w:ascii="Times New Roman" w:hAnsi="Times New Roman"/>
        </w:rPr>
        <w:t>eedback</w:t>
      </w:r>
      <w:r w:rsidR="004B6B29">
        <w:rPr>
          <w:rFonts w:ascii="Times New Roman" w:hAnsi="Times New Roman"/>
        </w:rPr>
        <w:t xml:space="preserve"> </w:t>
      </w:r>
      <w:r w:rsidR="00B11D60">
        <w:rPr>
          <w:rFonts w:ascii="Times New Roman" w:hAnsi="Times New Roman"/>
        </w:rPr>
        <w:t xml:space="preserve">-- </w:t>
      </w:r>
      <w:r w:rsidR="004B6B29">
        <w:rPr>
          <w:rFonts w:ascii="Times New Roman" w:hAnsi="Times New Roman"/>
        </w:rPr>
        <w:t xml:space="preserve">about the actions of others and about </w:t>
      </w:r>
      <w:r w:rsidR="00B11D60">
        <w:rPr>
          <w:rFonts w:ascii="Times New Roman" w:hAnsi="Times New Roman"/>
        </w:rPr>
        <w:t xml:space="preserve">the </w:t>
      </w:r>
      <w:r w:rsidR="004B6B29">
        <w:rPr>
          <w:rFonts w:ascii="Times New Roman" w:hAnsi="Times New Roman"/>
        </w:rPr>
        <w:t>stochastic outcomes</w:t>
      </w:r>
      <w:r w:rsidR="00B11D60">
        <w:rPr>
          <w:rFonts w:ascii="Times New Roman" w:hAnsi="Times New Roman"/>
        </w:rPr>
        <w:t xml:space="preserve"> --</w:t>
      </w:r>
      <w:r w:rsidR="000C1420">
        <w:rPr>
          <w:rFonts w:ascii="Times New Roman" w:hAnsi="Times New Roman"/>
        </w:rPr>
        <w:t xml:space="preserve"> i</w:t>
      </w:r>
      <w:r w:rsidR="00BF1F1D">
        <w:rPr>
          <w:rFonts w:ascii="Times New Roman" w:hAnsi="Times New Roman"/>
        </w:rPr>
        <w:t xml:space="preserve">s only </w:t>
      </w:r>
      <w:r w:rsidR="000C1420">
        <w:rPr>
          <w:rFonts w:ascii="Times New Roman" w:hAnsi="Times New Roman"/>
        </w:rPr>
        <w:t xml:space="preserve">seen </w:t>
      </w:r>
      <w:r w:rsidR="00025899">
        <w:rPr>
          <w:rFonts w:ascii="Times New Roman" w:hAnsi="Times New Roman"/>
        </w:rPr>
        <w:t>after</w:t>
      </w:r>
      <w:r w:rsidR="000C1420">
        <w:rPr>
          <w:rFonts w:ascii="Times New Roman" w:hAnsi="Times New Roman"/>
        </w:rPr>
        <w:t xml:space="preserve"> </w:t>
      </w:r>
      <w:r w:rsidR="004B6B29">
        <w:rPr>
          <w:rFonts w:ascii="Times New Roman" w:hAnsi="Times New Roman"/>
        </w:rPr>
        <w:t>the precommitted</w:t>
      </w:r>
      <w:r w:rsidR="000C1420">
        <w:rPr>
          <w:rFonts w:ascii="Times New Roman" w:hAnsi="Times New Roman"/>
        </w:rPr>
        <w:t xml:space="preserve"> choices play ou</w:t>
      </w:r>
      <w:r w:rsidR="00025899">
        <w:rPr>
          <w:rFonts w:ascii="Times New Roman" w:hAnsi="Times New Roman"/>
        </w:rPr>
        <w:t>t</w:t>
      </w:r>
      <w:r w:rsidR="000C1420">
        <w:rPr>
          <w:rFonts w:ascii="Times New Roman" w:hAnsi="Times New Roman"/>
        </w:rPr>
        <w:t xml:space="preserve">. </w:t>
      </w:r>
      <w:r w:rsidR="00BF1F1D">
        <w:rPr>
          <w:rFonts w:ascii="Times New Roman" w:hAnsi="Times New Roman"/>
        </w:rPr>
        <w:t xml:space="preserve">Therefore, opportunities to respond to feedback are more limited. </w:t>
      </w:r>
      <w:r w:rsidR="000C1420">
        <w:rPr>
          <w:rFonts w:ascii="Times New Roman" w:hAnsi="Times New Roman"/>
        </w:rPr>
        <w:t xml:space="preserve">Previous research on feedback in social dilemmas (for a review, see </w:t>
      </w:r>
      <w:r w:rsidR="000C1420" w:rsidRPr="000C1420">
        <w:rPr>
          <w:rFonts w:ascii="Times New Roman" w:hAnsi="Times New Roman"/>
        </w:rPr>
        <w:t>van Dijk</w:t>
      </w:r>
      <w:r w:rsidR="000C1420">
        <w:rPr>
          <w:rFonts w:ascii="Times New Roman" w:hAnsi="Times New Roman"/>
        </w:rPr>
        <w:t xml:space="preserve"> et al., 2008)</w:t>
      </w:r>
      <w:r w:rsidR="00CE2AA9">
        <w:rPr>
          <w:rFonts w:ascii="Times New Roman" w:hAnsi="Times New Roman"/>
        </w:rPr>
        <w:t xml:space="preserve"> has found that it can be an enhancer: seeing others cooperate leads to greater cooperation (</w:t>
      </w:r>
      <w:r w:rsidR="00CE2AA9" w:rsidRPr="00CE2AA9">
        <w:rPr>
          <w:rFonts w:ascii="Times New Roman" w:hAnsi="Times New Roman"/>
        </w:rPr>
        <w:t>Schroeder et al. 198</w:t>
      </w:r>
      <w:r w:rsidR="00CE2AA9">
        <w:rPr>
          <w:rFonts w:ascii="Times New Roman" w:hAnsi="Times New Roman"/>
        </w:rPr>
        <w:t xml:space="preserve">3). </w:t>
      </w:r>
      <w:r w:rsidR="001B40EF">
        <w:rPr>
          <w:rFonts w:ascii="Times New Roman" w:hAnsi="Times New Roman"/>
        </w:rPr>
        <w:t xml:space="preserve">However, the opposite </w:t>
      </w:r>
      <w:r w:rsidR="00B11D60">
        <w:rPr>
          <w:rFonts w:ascii="Times New Roman" w:hAnsi="Times New Roman"/>
        </w:rPr>
        <w:t xml:space="preserve">can </w:t>
      </w:r>
      <w:r w:rsidR="001B40EF">
        <w:rPr>
          <w:rFonts w:ascii="Times New Roman" w:hAnsi="Times New Roman"/>
        </w:rPr>
        <w:t>also</w:t>
      </w:r>
      <w:r w:rsidR="00B11D60">
        <w:rPr>
          <w:rFonts w:ascii="Times New Roman" w:hAnsi="Times New Roman"/>
        </w:rPr>
        <w:t xml:space="preserve"> be</w:t>
      </w:r>
      <w:r w:rsidR="001B40EF">
        <w:rPr>
          <w:rFonts w:ascii="Times New Roman" w:hAnsi="Times New Roman"/>
        </w:rPr>
        <w:t xml:space="preserve"> true, due to the desire to avoid being a sucker (</w:t>
      </w:r>
      <w:r w:rsidR="001B40EF" w:rsidRPr="001B40EF">
        <w:rPr>
          <w:rFonts w:ascii="Times New Roman" w:hAnsi="Times New Roman"/>
        </w:rPr>
        <w:t>Kerr, 1983</w:t>
      </w:r>
      <w:r w:rsidR="001B40EF">
        <w:rPr>
          <w:rFonts w:ascii="Times New Roman" w:hAnsi="Times New Roman"/>
        </w:rPr>
        <w:t>): “defection breeds defection” (</w:t>
      </w:r>
      <w:r w:rsidR="001B40EF" w:rsidRPr="001B40EF">
        <w:rPr>
          <w:rFonts w:ascii="Times New Roman" w:hAnsi="Times New Roman"/>
        </w:rPr>
        <w:t>Fleishman, 1988</w:t>
      </w:r>
      <w:r w:rsidR="001B40EF">
        <w:rPr>
          <w:rFonts w:ascii="Times New Roman" w:hAnsi="Times New Roman"/>
        </w:rPr>
        <w:t xml:space="preserve">; </w:t>
      </w:r>
      <w:r w:rsidR="001B40EF" w:rsidRPr="001B40EF">
        <w:rPr>
          <w:rFonts w:ascii="Times New Roman" w:hAnsi="Times New Roman"/>
        </w:rPr>
        <w:t>Messick et al. 1983</w:t>
      </w:r>
      <w:r w:rsidR="001B40EF">
        <w:rPr>
          <w:rFonts w:ascii="Times New Roman" w:hAnsi="Times New Roman"/>
        </w:rPr>
        <w:t xml:space="preserve">). </w:t>
      </w:r>
      <w:r w:rsidR="00B5117F">
        <w:rPr>
          <w:rFonts w:ascii="Times New Roman" w:hAnsi="Times New Roman"/>
        </w:rPr>
        <w:t>Indeed, i</w:t>
      </w:r>
      <w:r w:rsidR="00B5117F" w:rsidRPr="00B5117F">
        <w:rPr>
          <w:rFonts w:ascii="Times New Roman" w:hAnsi="Times New Roman"/>
        </w:rPr>
        <w:t>n a public-good setting, people tend to adjust their own contributions to those of the lowest contributor</w:t>
      </w:r>
      <w:r w:rsidR="00B5117F">
        <w:rPr>
          <w:rFonts w:ascii="Times New Roman" w:hAnsi="Times New Roman"/>
        </w:rPr>
        <w:t xml:space="preserve"> (</w:t>
      </w:r>
      <w:r w:rsidR="00B5117F" w:rsidRPr="00B5117F">
        <w:rPr>
          <w:rFonts w:ascii="Times New Roman" w:hAnsi="Times New Roman"/>
        </w:rPr>
        <w:t>Kurzban et al.</w:t>
      </w:r>
      <w:r w:rsidR="00B5117F">
        <w:rPr>
          <w:rFonts w:ascii="Times New Roman" w:hAnsi="Times New Roman"/>
        </w:rPr>
        <w:t>,</w:t>
      </w:r>
      <w:r w:rsidR="00B5117F" w:rsidRPr="00B5117F">
        <w:rPr>
          <w:rFonts w:ascii="Times New Roman" w:hAnsi="Times New Roman"/>
        </w:rPr>
        <w:t xml:space="preserve"> 2001</w:t>
      </w:r>
      <w:r w:rsidR="00B5117F">
        <w:rPr>
          <w:rFonts w:ascii="Times New Roman" w:hAnsi="Times New Roman"/>
        </w:rPr>
        <w:t>)</w:t>
      </w:r>
      <w:r w:rsidR="00B5117F" w:rsidRPr="00B5117F">
        <w:rPr>
          <w:rFonts w:ascii="Times New Roman" w:hAnsi="Times New Roman"/>
        </w:rPr>
        <w:t>.</w:t>
      </w:r>
      <w:r w:rsidR="00B62E68">
        <w:rPr>
          <w:rFonts w:ascii="Times New Roman" w:hAnsi="Times New Roman"/>
        </w:rPr>
        <w:t xml:space="preserve"> </w:t>
      </w:r>
      <w:r w:rsidR="007312DA">
        <w:rPr>
          <w:rFonts w:ascii="Times New Roman" w:hAnsi="Times New Roman"/>
        </w:rPr>
        <w:t>This literature might suggest the precommitment, by reducing opportunities for feedback, could keep cooperation rates higher</w:t>
      </w:r>
      <w:r w:rsidR="00BF1F1D">
        <w:rPr>
          <w:rFonts w:ascii="Times New Roman" w:hAnsi="Times New Roman"/>
        </w:rPr>
        <w:t xml:space="preserve"> in stochastic dilemmas</w:t>
      </w:r>
      <w:r w:rsidR="007312DA">
        <w:rPr>
          <w:rFonts w:ascii="Times New Roman" w:hAnsi="Times New Roman"/>
        </w:rPr>
        <w:t xml:space="preserve">. </w:t>
      </w:r>
      <w:r w:rsidR="007228B9">
        <w:rPr>
          <w:rFonts w:ascii="Times New Roman" w:hAnsi="Times New Roman"/>
        </w:rPr>
        <w:t xml:space="preserve"> </w:t>
      </w:r>
      <w:r w:rsidR="004B6B29">
        <w:rPr>
          <w:rFonts w:ascii="Times New Roman" w:hAnsi="Times New Roman"/>
        </w:rPr>
        <w:t xml:space="preserve">In summary, there are conflicting predictions for the overall the effect of precommitment on cooperation in </w:t>
      </w:r>
      <w:r w:rsidR="00B11D60">
        <w:rPr>
          <w:rFonts w:ascii="Times New Roman" w:hAnsi="Times New Roman"/>
        </w:rPr>
        <w:t>social</w:t>
      </w:r>
      <w:r w:rsidR="004B6B29">
        <w:rPr>
          <w:rFonts w:ascii="Times New Roman" w:hAnsi="Times New Roman"/>
        </w:rPr>
        <w:t xml:space="preserve"> dilemmas. </w:t>
      </w:r>
    </w:p>
    <w:p w14:paraId="3DF7C53C" w14:textId="658E96D2" w:rsidR="00AE0EE3" w:rsidRDefault="00AE0EE3" w:rsidP="00422EB7">
      <w:pPr>
        <w:spacing w:line="480" w:lineRule="auto"/>
        <w:ind w:firstLine="720"/>
        <w:rPr>
          <w:rFonts w:ascii="Times New Roman" w:hAnsi="Times New Roman"/>
        </w:rPr>
      </w:pPr>
    </w:p>
    <w:p w14:paraId="2A3CDD2B" w14:textId="68F4A1DC" w:rsidR="00AE0EE3" w:rsidRPr="003E1DB5" w:rsidRDefault="00AE0EE3" w:rsidP="003E1DB5">
      <w:pPr>
        <w:spacing w:line="480" w:lineRule="auto"/>
        <w:rPr>
          <w:rFonts w:ascii="Times New Roman" w:hAnsi="Times New Roman"/>
          <w:b/>
          <w:bCs/>
        </w:rPr>
      </w:pPr>
      <w:r w:rsidRPr="003E1DB5">
        <w:rPr>
          <w:rFonts w:ascii="Times New Roman" w:hAnsi="Times New Roman"/>
          <w:b/>
          <w:bCs/>
        </w:rPr>
        <w:t>The Present Research</w:t>
      </w:r>
    </w:p>
    <w:p w14:paraId="740BA8CF" w14:textId="637F3186" w:rsidR="00DA02A6" w:rsidRDefault="00CC431D" w:rsidP="00D26CFF">
      <w:pPr>
        <w:spacing w:line="480" w:lineRule="auto"/>
        <w:rPr>
          <w:rFonts w:ascii="Times New Roman" w:hAnsi="Times New Roman"/>
        </w:rPr>
      </w:pPr>
      <w:r w:rsidRPr="002208A3">
        <w:rPr>
          <w:rFonts w:ascii="Times New Roman" w:hAnsi="Times New Roman"/>
        </w:rPr>
        <w:tab/>
      </w:r>
      <w:r w:rsidR="00010E4A" w:rsidRPr="002208A3">
        <w:rPr>
          <w:rFonts w:ascii="Times New Roman" w:hAnsi="Times New Roman"/>
        </w:rPr>
        <w:t xml:space="preserve">The present research </w:t>
      </w:r>
      <w:r w:rsidR="007A5868" w:rsidRPr="002208A3">
        <w:rPr>
          <w:rFonts w:ascii="Times New Roman" w:hAnsi="Times New Roman"/>
        </w:rPr>
        <w:t xml:space="preserve">set out to </w:t>
      </w:r>
      <w:r w:rsidR="00806905" w:rsidRPr="002208A3">
        <w:rPr>
          <w:rFonts w:ascii="Times New Roman" w:hAnsi="Times New Roman"/>
        </w:rPr>
        <w:t>test</w:t>
      </w:r>
      <w:r w:rsidR="00010E4A" w:rsidRPr="002208A3">
        <w:rPr>
          <w:rFonts w:ascii="Times New Roman" w:hAnsi="Times New Roman"/>
        </w:rPr>
        <w:t xml:space="preserve"> </w:t>
      </w:r>
      <w:r w:rsidR="00E751DC" w:rsidRPr="002208A3">
        <w:rPr>
          <w:rFonts w:ascii="Times New Roman" w:hAnsi="Times New Roman"/>
        </w:rPr>
        <w:t xml:space="preserve">the effect of </w:t>
      </w:r>
      <w:r w:rsidR="00010E4A" w:rsidRPr="002208A3">
        <w:rPr>
          <w:rFonts w:ascii="Times New Roman" w:hAnsi="Times New Roman"/>
        </w:rPr>
        <w:t xml:space="preserve">precommitment as a method to </w:t>
      </w:r>
      <w:r w:rsidR="006C3182" w:rsidRPr="002208A3">
        <w:rPr>
          <w:rFonts w:ascii="Times New Roman" w:hAnsi="Times New Roman"/>
        </w:rPr>
        <w:t>increase investment</w:t>
      </w:r>
      <w:r w:rsidR="00BC5E85" w:rsidRPr="002208A3">
        <w:rPr>
          <w:rFonts w:ascii="Times New Roman" w:hAnsi="Times New Roman"/>
        </w:rPr>
        <w:t xml:space="preserve"> rates</w:t>
      </w:r>
      <w:r w:rsidR="00586D77">
        <w:rPr>
          <w:rFonts w:ascii="Times New Roman" w:hAnsi="Times New Roman"/>
        </w:rPr>
        <w:t xml:space="preserve"> in social dilemmas </w:t>
      </w:r>
      <w:r w:rsidR="007312DA">
        <w:rPr>
          <w:rFonts w:ascii="Times New Roman" w:hAnsi="Times New Roman"/>
        </w:rPr>
        <w:t>with outcome risk</w:t>
      </w:r>
      <w:r w:rsidR="006C3182" w:rsidRPr="002208A3">
        <w:rPr>
          <w:rFonts w:ascii="Times New Roman" w:hAnsi="Times New Roman"/>
        </w:rPr>
        <w:t xml:space="preserve">. </w:t>
      </w:r>
      <w:r w:rsidR="007312DA">
        <w:rPr>
          <w:rFonts w:ascii="Times New Roman" w:hAnsi="Times New Roman"/>
        </w:rPr>
        <w:t xml:space="preserve">(Here and below, we use “invest” to refer to paying a small amount to reduce the likelihood of catastrophic loss. In the social dilemma scenarios, investing is the “cooperative” </w:t>
      </w:r>
      <w:r w:rsidR="004B6B29">
        <w:rPr>
          <w:rFonts w:ascii="Times New Roman" w:hAnsi="Times New Roman"/>
        </w:rPr>
        <w:t>choice</w:t>
      </w:r>
      <w:r w:rsidR="007312DA">
        <w:rPr>
          <w:rFonts w:ascii="Times New Roman" w:hAnsi="Times New Roman"/>
        </w:rPr>
        <w:t xml:space="preserve">, and in </w:t>
      </w:r>
      <w:r w:rsidR="00B11D60">
        <w:rPr>
          <w:rFonts w:ascii="Times New Roman" w:hAnsi="Times New Roman"/>
        </w:rPr>
        <w:t xml:space="preserve">the </w:t>
      </w:r>
      <w:r w:rsidR="007312DA">
        <w:rPr>
          <w:rFonts w:ascii="Times New Roman" w:hAnsi="Times New Roman"/>
        </w:rPr>
        <w:t>solo games</w:t>
      </w:r>
      <w:r w:rsidR="004B6B29">
        <w:rPr>
          <w:rFonts w:ascii="Times New Roman" w:hAnsi="Times New Roman"/>
        </w:rPr>
        <w:t xml:space="preserve"> we describe below</w:t>
      </w:r>
      <w:r w:rsidR="007312DA">
        <w:rPr>
          <w:rFonts w:ascii="Times New Roman" w:hAnsi="Times New Roman"/>
        </w:rPr>
        <w:t xml:space="preserve">, investing is the expected-value maximizing </w:t>
      </w:r>
      <w:r w:rsidR="004B6B29">
        <w:rPr>
          <w:rFonts w:ascii="Times New Roman" w:hAnsi="Times New Roman"/>
        </w:rPr>
        <w:t>choice</w:t>
      </w:r>
      <w:r w:rsidR="007312DA">
        <w:rPr>
          <w:rFonts w:ascii="Times New Roman" w:hAnsi="Times New Roman"/>
        </w:rPr>
        <w:t xml:space="preserve">.) </w:t>
      </w:r>
      <w:r w:rsidR="006E2F61" w:rsidRPr="002208A3">
        <w:rPr>
          <w:rFonts w:ascii="Times New Roman" w:hAnsi="Times New Roman"/>
        </w:rPr>
        <w:t xml:space="preserve">Unlike previous </w:t>
      </w:r>
      <w:r w:rsidR="00B11D60">
        <w:rPr>
          <w:rFonts w:ascii="Times New Roman" w:hAnsi="Times New Roman"/>
        </w:rPr>
        <w:lastRenderedPageBreak/>
        <w:t xml:space="preserve">social dilemma </w:t>
      </w:r>
      <w:r w:rsidR="006E2F61" w:rsidRPr="002208A3">
        <w:rPr>
          <w:rFonts w:ascii="Times New Roman" w:hAnsi="Times New Roman"/>
        </w:rPr>
        <w:t xml:space="preserve">research which has </w:t>
      </w:r>
      <w:r w:rsidR="00B11D60">
        <w:rPr>
          <w:rFonts w:ascii="Times New Roman" w:hAnsi="Times New Roman"/>
        </w:rPr>
        <w:t>examined</w:t>
      </w:r>
      <w:r w:rsidR="00B11D60" w:rsidRPr="002208A3">
        <w:rPr>
          <w:rFonts w:ascii="Times New Roman" w:hAnsi="Times New Roman"/>
        </w:rPr>
        <w:t xml:space="preserve"> </w:t>
      </w:r>
      <w:r w:rsidR="006E2F61" w:rsidRPr="002208A3">
        <w:rPr>
          <w:rFonts w:ascii="Times New Roman" w:hAnsi="Times New Roman"/>
        </w:rPr>
        <w:t>verbal commitments to cooperate</w:t>
      </w:r>
      <w:r w:rsidR="001204E8">
        <w:rPr>
          <w:rFonts w:ascii="Times New Roman" w:hAnsi="Times New Roman"/>
        </w:rPr>
        <w:t xml:space="preserve"> </w:t>
      </w:r>
      <w:r w:rsidR="001204E8">
        <w:rPr>
          <w:rFonts w:ascii="Times New Roman" w:hAnsi="Times New Roman"/>
        </w:rPr>
        <w:fldChar w:fldCharType="begin" w:fldLock="1"/>
      </w:r>
      <w:r w:rsidR="005B1C17">
        <w:rPr>
          <w:rFonts w:ascii="Times New Roman" w:hAnsi="Times New Roman"/>
        </w:rPr>
        <w:instrText>ADDIN CSL_CITATION {"citationItems":[{"id":"ITEM-1","itemData":{"ISSN":"0749-5978","author":[{"dropping-particle":"","family":"Chen","given":"Xiao-Ping","non-dropping-particle":"","parse-names":false,"suffix":""},{"dropping-particle":"","family":"Komorita","given":"Samuel S","non-dropping-particle":"","parse-names":false,"suffix":""}],"container-title":"Organizational Behavior and Human Decision Processes","id":"ITEM-1","issue":"3","issued":{"date-parts":[["1994"]]},"page":"367-386","publisher":"Elsevier","title":"The effects of communication and commitment in a public goods social dilemma","type":"article-journal","volume":"60"},"uris":["http://www.mendeley.com/documents/?uuid=90653dc5-d683-48d6-8ada-aad98a4ebe1e"]},{"id":"ITEM-2","itemData":{"ISSN":"0749-5978","author":[{"dropping-particle":"","family":"Chen","given":"Xiao-Ping","non-dropping-particle":"","parse-names":false,"suffix":""}],"container-title":"Organizational Behavior and Human Decision Processes","id":"ITEM-2","issue":"2","issued":{"date-parts":[["1996"]]},"page":"192-202","publisher":"Elsevier","title":"The group-based binding pledge as a solution to public goods problems","type":"article-journal","volume":"66"},"uris":["http://www.mendeley.com/documents/?uuid=eae7aaaf-994c-416f-9f8f-89d154208143"]},{"id":"ITEM-3","itemData":{"ISSN":"1939-1315","author":[{"dropping-particle":"","family":"Kerr","given":"Norbert L","non-dropping-particle":"","parse-names":false,"suffix":""},{"dropping-particle":"","family":"Kaufman-Gilliland","given":"Cynthia M","non-dropping-particle":"","parse-names":false,"suffix":""}],"container-title":"Journal of personality and social psychology","id":"ITEM-3","issue":"3","issued":{"date-parts":[["1994"]]},"page":"513","publisher":"American Psychological Association","title":"Communication, commitment, and cooperation in social dilemma.","type":"article-journal","volume":"66"},"uris":["http://www.mendeley.com/documents/?uuid=4e6e4f5f-6390-4f1a-84ef-1c5908a0103c"]}],"mendeley":{"formattedCitation":"(Chen, 1996; Chen &amp; Komorita, 1994; Kerr &amp; Kaufman-Gilliland, 1994)","plainTextFormattedCitation":"(Chen, 1996; Chen &amp; Komorita, 1994; Kerr &amp; Kaufman-Gilliland, 1994)","previouslyFormattedCitation":"(Chen 1996, Chen and Komorita 1994, Kerr and Kaufman-Gilliland 1994)"},"properties":{"noteIndex":0},"schema":"https://github.com/citation-style-language/schema/raw/master/csl-citation.json"}</w:instrText>
      </w:r>
      <w:r w:rsidR="001204E8">
        <w:rPr>
          <w:rFonts w:ascii="Times New Roman" w:hAnsi="Times New Roman"/>
        </w:rPr>
        <w:fldChar w:fldCharType="separate"/>
      </w:r>
      <w:r w:rsidR="005B1C17" w:rsidRPr="005B1C17">
        <w:rPr>
          <w:rFonts w:ascii="Times New Roman" w:hAnsi="Times New Roman"/>
          <w:noProof/>
        </w:rPr>
        <w:t>(Chen, 1996; Chen &amp; Komorita, 1994; Kerr &amp; Kaufman-Gilliland, 1994)</w:t>
      </w:r>
      <w:r w:rsidR="001204E8">
        <w:rPr>
          <w:rFonts w:ascii="Times New Roman" w:hAnsi="Times New Roman"/>
        </w:rPr>
        <w:fldChar w:fldCharType="end"/>
      </w:r>
      <w:r w:rsidR="006E2F61" w:rsidRPr="002208A3">
        <w:rPr>
          <w:rFonts w:ascii="Times New Roman" w:hAnsi="Times New Roman"/>
        </w:rPr>
        <w:t xml:space="preserve">, we </w:t>
      </w:r>
      <w:r w:rsidR="00DA02A6">
        <w:rPr>
          <w:rFonts w:ascii="Times New Roman" w:hAnsi="Times New Roman"/>
        </w:rPr>
        <w:t>focus on</w:t>
      </w:r>
      <w:r w:rsidR="00DA02A6" w:rsidRPr="002208A3">
        <w:rPr>
          <w:rFonts w:ascii="Times New Roman" w:hAnsi="Times New Roman"/>
        </w:rPr>
        <w:t xml:space="preserve"> </w:t>
      </w:r>
      <w:r w:rsidR="006E2F61" w:rsidRPr="002208A3">
        <w:rPr>
          <w:rFonts w:ascii="Times New Roman" w:hAnsi="Times New Roman"/>
        </w:rPr>
        <w:t xml:space="preserve">the case where individuals make </w:t>
      </w:r>
      <w:r w:rsidR="006E2F61" w:rsidRPr="003E1DB5">
        <w:rPr>
          <w:rFonts w:ascii="Times New Roman" w:hAnsi="Times New Roman"/>
        </w:rPr>
        <w:t>binding</w:t>
      </w:r>
      <w:r w:rsidR="006E2F61" w:rsidRPr="002208A3">
        <w:rPr>
          <w:rFonts w:ascii="Times New Roman" w:hAnsi="Times New Roman"/>
        </w:rPr>
        <w:t xml:space="preserve"> choices in advance</w:t>
      </w:r>
      <w:r w:rsidR="00DA02A6">
        <w:rPr>
          <w:rFonts w:ascii="Times New Roman" w:hAnsi="Times New Roman"/>
        </w:rPr>
        <w:t xml:space="preserve"> (or non-binding choices in advance, in Study </w:t>
      </w:r>
      <w:r w:rsidR="00591547">
        <w:rPr>
          <w:rFonts w:ascii="Times New Roman" w:hAnsi="Times New Roman"/>
        </w:rPr>
        <w:t>4</w:t>
      </w:r>
      <w:r w:rsidR="00DA02A6">
        <w:rPr>
          <w:rFonts w:ascii="Times New Roman" w:hAnsi="Times New Roman"/>
        </w:rPr>
        <w:t>)</w:t>
      </w:r>
      <w:r w:rsidR="006E2F61" w:rsidRPr="002208A3">
        <w:rPr>
          <w:rFonts w:ascii="Times New Roman" w:hAnsi="Times New Roman"/>
        </w:rPr>
        <w:t xml:space="preserve">. </w:t>
      </w:r>
    </w:p>
    <w:p w14:paraId="406544F0" w14:textId="03068D4F" w:rsidR="00B03A84" w:rsidRDefault="00DB4A26" w:rsidP="003E1DB5">
      <w:pPr>
        <w:spacing w:line="480" w:lineRule="auto"/>
        <w:ind w:firstLine="720"/>
        <w:rPr>
          <w:rFonts w:ascii="Times New Roman" w:hAnsi="Times New Roman"/>
          <w:u w:val="single"/>
        </w:rPr>
      </w:pPr>
      <w:r w:rsidRPr="002B5ADD" w:rsidDel="00D26CFF">
        <w:rPr>
          <w:rFonts w:ascii="Times New Roman" w:hAnsi="Times New Roman"/>
        </w:rPr>
        <w:t xml:space="preserve">The interdependence theory model suggested by </w:t>
      </w:r>
      <w:r w:rsidR="00937C79" w:rsidRPr="002B5ADD" w:rsidDel="00D26CFF">
        <w:rPr>
          <w:rFonts w:ascii="Times New Roman" w:hAnsi="Times New Roman"/>
        </w:rPr>
        <w:t xml:space="preserve">Van Lange &amp; </w:t>
      </w:r>
      <w:proofErr w:type="spellStart"/>
      <w:r w:rsidR="00937C79" w:rsidRPr="002B5ADD" w:rsidDel="00D26CFF">
        <w:rPr>
          <w:rFonts w:ascii="Times New Roman" w:hAnsi="Times New Roman"/>
        </w:rPr>
        <w:t>Rusbult</w:t>
      </w:r>
      <w:proofErr w:type="spellEnd"/>
      <w:r w:rsidR="00937C79" w:rsidRPr="002B5ADD" w:rsidDel="00D26CFF">
        <w:rPr>
          <w:rFonts w:ascii="Times New Roman" w:hAnsi="Times New Roman"/>
        </w:rPr>
        <w:t xml:space="preserve"> </w:t>
      </w:r>
      <w:r w:rsidR="00720D24">
        <w:rPr>
          <w:rFonts w:ascii="Times New Roman" w:hAnsi="Times New Roman"/>
        </w:rPr>
        <w:fldChar w:fldCharType="begin" w:fldLock="1"/>
      </w:r>
      <w:r w:rsidR="005B1C17">
        <w:rPr>
          <w:rFonts w:ascii="Times New Roman" w:hAnsi="Times New Roman"/>
        </w:rPr>
        <w:instrText>ADDIN CSL_CITATION {"citationItems":[{"id":"ITEM-1","itemData":{"DOI":"10.4135/9781446249222.n39","ISBN":"978-0-85702-961-4 (Hardcover)","abstract":"As one of the classic theories of social psychology, interdependence theory has since its earliest formulation addressed broad classic themes such as dependence and power, rules and norms, as well as coordination and cooperation. Later, Kelley and Thibaut provided a more comprehensive statement of the theory which allowed researchers to analyze topics such as attribution and self-presentation, trust and distrust, love and commitment, conflict and communication, and risk and self-regulation. Interdependence theory seeks to capture the essence of social life by advancing a conceptual framework for understanding social interaction. In particular, it identifies the most important characteristics of interpersonal situations via a comprehensive analysis of situation structure, and describes the implications of structure for understanding intrapersonal and interpersonal processes. Situation structure matters because it is the interpersonal reality within which motives are activated, toward which cognition is oriented, and around which interaction unfolds. This chapter describes key principles of the theory, and illustrates the utility of an interdependence theoretic analysis via a review of phenomena that we may observe everywhere around us—such as regulatory fit, persistence in the face of dissatisfaction, the basis for understanding generosity, and the ebbs and flows of intergroup relations. (PsycInfo Database Record (c) 2020 APA, all rights reserved)","author":[{"dropping-particle":"","family":"Rusbult","given":"Caryl E","non-dropping-particle":"","parse-names":false,"suffix":""}],"container-title":"Handbook of theories of social psychology, Vol. 2","editor":[{"dropping-particle":"","family":"Lange","given":"Paul A M","non-dropping-particle":"Van","parse-names":false,"suffix":""}],"id":"ITEM-1","issued":{"date-parts":[["2012"]]},"page":"251-272","publisher":"Sage Publications Ltd","publisher-place":"Thousand Oaks,  CA","title":"Interdependence theory.","type":"chapter"},"uris":["http://www.mendeley.com/documents/?uuid=440f3c6e-65f9-47b7-9b42-250694209843"]}],"mendeley":{"formattedCitation":"(Rusbult, 2012)","manualFormatting":"(2012)","plainTextFormattedCitation":"(Rusbult, 2012)","previouslyFormattedCitation":"(Rusbult 2012)"},"properties":{"noteIndex":0},"schema":"https://github.com/citation-style-language/schema/raw/master/csl-citation.json"}</w:instrText>
      </w:r>
      <w:r w:rsidR="00720D24">
        <w:rPr>
          <w:rFonts w:ascii="Times New Roman" w:hAnsi="Times New Roman"/>
        </w:rPr>
        <w:fldChar w:fldCharType="separate"/>
      </w:r>
      <w:r w:rsidR="00720D24" w:rsidRPr="00720D24">
        <w:rPr>
          <w:rFonts w:ascii="Times New Roman" w:hAnsi="Times New Roman"/>
          <w:noProof/>
        </w:rPr>
        <w:t>(2012)</w:t>
      </w:r>
      <w:r w:rsidR="00720D24">
        <w:rPr>
          <w:rFonts w:ascii="Times New Roman" w:hAnsi="Times New Roman"/>
        </w:rPr>
        <w:fldChar w:fldCharType="end"/>
      </w:r>
      <w:r w:rsidR="00720D24">
        <w:rPr>
          <w:rFonts w:ascii="Times New Roman" w:hAnsi="Times New Roman"/>
        </w:rPr>
        <w:t xml:space="preserve"> </w:t>
      </w:r>
      <w:r w:rsidR="00937C79" w:rsidRPr="002B5ADD" w:rsidDel="00D26CFF">
        <w:rPr>
          <w:rFonts w:ascii="Times New Roman" w:hAnsi="Times New Roman"/>
        </w:rPr>
        <w:t xml:space="preserve">assumes that decision makers transform a “given payoff matrix” of objective outcomes to an “effective payoff matrix” of subjective outcomes. </w:t>
      </w:r>
      <w:r w:rsidR="00937C79" w:rsidRPr="002B5ADD">
        <w:rPr>
          <w:rFonts w:ascii="Times New Roman" w:hAnsi="Times New Roman"/>
        </w:rPr>
        <w:t xml:space="preserve">One of the factors influencing that transformation is temporal transformation. </w:t>
      </w:r>
      <w:r w:rsidR="005141F1" w:rsidRPr="008A7C02">
        <w:rPr>
          <w:rFonts w:ascii="Times New Roman" w:hAnsi="Times New Roman"/>
        </w:rPr>
        <w:t xml:space="preserve">Rare events with </w:t>
      </w:r>
      <w:r w:rsidR="00F10765" w:rsidRPr="008A7C02">
        <w:rPr>
          <w:rFonts w:ascii="Times New Roman" w:hAnsi="Times New Roman"/>
        </w:rPr>
        <w:t xml:space="preserve">a </w:t>
      </w:r>
      <w:r w:rsidR="005141F1" w:rsidRPr="008A7C02">
        <w:rPr>
          <w:rFonts w:ascii="Times New Roman" w:hAnsi="Times New Roman"/>
        </w:rPr>
        <w:t xml:space="preserve">catastrophic loss pose a dilemma: Either to pay a certain cost (e.g., </w:t>
      </w:r>
      <w:r w:rsidR="00586D77" w:rsidRPr="008A7C02">
        <w:rPr>
          <w:rFonts w:ascii="Times New Roman" w:hAnsi="Times New Roman"/>
        </w:rPr>
        <w:t>a financial</w:t>
      </w:r>
      <w:r w:rsidR="005141F1" w:rsidRPr="008A7C02">
        <w:rPr>
          <w:rFonts w:ascii="Times New Roman" w:hAnsi="Times New Roman"/>
        </w:rPr>
        <w:t xml:space="preserve"> cost</w:t>
      </w:r>
      <w:r w:rsidR="00586D77" w:rsidRPr="008A7C02">
        <w:rPr>
          <w:rFonts w:ascii="Times New Roman" w:hAnsi="Times New Roman"/>
        </w:rPr>
        <w:t xml:space="preserve"> or a time cost</w:t>
      </w:r>
      <w:r w:rsidR="005141F1" w:rsidRPr="008A7C02">
        <w:rPr>
          <w:rFonts w:ascii="Times New Roman" w:hAnsi="Times New Roman"/>
        </w:rPr>
        <w:t xml:space="preserve">) and be safe, or to do nothing and to risk being exposed to the </w:t>
      </w:r>
      <w:r w:rsidR="00586D77" w:rsidRPr="008A7C02">
        <w:rPr>
          <w:rFonts w:ascii="Times New Roman" w:hAnsi="Times New Roman"/>
        </w:rPr>
        <w:t xml:space="preserve">large </w:t>
      </w:r>
      <w:r w:rsidR="005141F1" w:rsidRPr="008A7C02">
        <w:rPr>
          <w:rFonts w:ascii="Times New Roman" w:hAnsi="Times New Roman"/>
        </w:rPr>
        <w:t xml:space="preserve">loss. Individuals </w:t>
      </w:r>
      <w:r w:rsidR="00DA02A6">
        <w:rPr>
          <w:rFonts w:ascii="Times New Roman" w:hAnsi="Times New Roman"/>
        </w:rPr>
        <w:t>often</w:t>
      </w:r>
      <w:r w:rsidR="00DA02A6" w:rsidRPr="008A7C02">
        <w:rPr>
          <w:rFonts w:ascii="Times New Roman" w:hAnsi="Times New Roman"/>
        </w:rPr>
        <w:t xml:space="preserve"> </w:t>
      </w:r>
      <w:r w:rsidR="005141F1" w:rsidRPr="008A7C02">
        <w:rPr>
          <w:rFonts w:ascii="Times New Roman" w:hAnsi="Times New Roman"/>
        </w:rPr>
        <w:t>make more rational and reasoned choices for the future than for the present</w:t>
      </w:r>
      <w:r w:rsidR="00EE2E82">
        <w:rPr>
          <w:rFonts w:ascii="Times New Roman" w:hAnsi="Times New Roman"/>
        </w:rPr>
        <w:t xml:space="preserve"> (Soll et al., 2015)</w:t>
      </w:r>
      <w:r w:rsidR="00720D24">
        <w:rPr>
          <w:rFonts w:ascii="Times New Roman" w:hAnsi="Times New Roman"/>
        </w:rPr>
        <w:t xml:space="preserve">. </w:t>
      </w:r>
      <w:r w:rsidR="00613437">
        <w:rPr>
          <w:rFonts w:ascii="Times New Roman" w:hAnsi="Times New Roman"/>
        </w:rPr>
        <w:t>Therefore, w</w:t>
      </w:r>
      <w:r w:rsidR="00613437" w:rsidRPr="008A7C02">
        <w:rPr>
          <w:rFonts w:ascii="Times New Roman" w:hAnsi="Times New Roman"/>
        </w:rPr>
        <w:t xml:space="preserve">e </w:t>
      </w:r>
      <w:r w:rsidR="005141F1" w:rsidRPr="008A7C02">
        <w:rPr>
          <w:rFonts w:ascii="Times New Roman" w:hAnsi="Times New Roman"/>
        </w:rPr>
        <w:t xml:space="preserve">argue that precommitment can be an effective tool to </w:t>
      </w:r>
      <w:r w:rsidR="009229EA" w:rsidRPr="008A7C02">
        <w:rPr>
          <w:rFonts w:ascii="Times New Roman" w:hAnsi="Times New Roman"/>
        </w:rPr>
        <w:t xml:space="preserve">nudge people to </w:t>
      </w:r>
      <w:r w:rsidR="005141F1" w:rsidRPr="008A7C02">
        <w:rPr>
          <w:rFonts w:ascii="Times New Roman" w:hAnsi="Times New Roman"/>
        </w:rPr>
        <w:t>invest in safer choices</w:t>
      </w:r>
      <w:r w:rsidR="009E68ED">
        <w:rPr>
          <w:rFonts w:ascii="Times New Roman" w:hAnsi="Times New Roman"/>
        </w:rPr>
        <w:t xml:space="preserve"> in SPDs</w:t>
      </w:r>
      <w:r w:rsidR="005141F1" w:rsidRPr="008A7C02">
        <w:rPr>
          <w:rFonts w:ascii="Times New Roman" w:hAnsi="Times New Roman"/>
        </w:rPr>
        <w:t xml:space="preserve">. </w:t>
      </w:r>
      <w:r w:rsidR="005141F1" w:rsidRPr="00422EB7">
        <w:rPr>
          <w:rFonts w:ascii="Times New Roman" w:hAnsi="Times New Roman"/>
        </w:rPr>
        <w:t xml:space="preserve">We propose that precommitment does this through increasing the individuals’ decision-making time-horizon and in turn, the </w:t>
      </w:r>
      <w:r w:rsidR="002D7E8F" w:rsidRPr="00422EB7">
        <w:rPr>
          <w:rFonts w:ascii="Times New Roman" w:hAnsi="Times New Roman"/>
        </w:rPr>
        <w:t>goals that they pursue and the weight of the large loss</w:t>
      </w:r>
      <w:r w:rsidR="005141F1" w:rsidRPr="00422EB7">
        <w:rPr>
          <w:rFonts w:ascii="Times New Roman" w:hAnsi="Times New Roman"/>
        </w:rPr>
        <w:t>.</w:t>
      </w:r>
      <w:r w:rsidR="002D7E8F">
        <w:rPr>
          <w:rFonts w:ascii="Times New Roman" w:hAnsi="Times New Roman"/>
        </w:rPr>
        <w:t xml:space="preserve"> </w:t>
      </w:r>
      <w:r w:rsidR="00422EB7">
        <w:rPr>
          <w:rFonts w:ascii="Times New Roman" w:hAnsi="Times New Roman"/>
        </w:rPr>
        <w:t>In other words, when players make decisions one</w:t>
      </w:r>
      <w:r w:rsidR="00613437">
        <w:rPr>
          <w:rFonts w:ascii="Times New Roman" w:hAnsi="Times New Roman"/>
        </w:rPr>
        <w:t xml:space="preserve"> </w:t>
      </w:r>
      <w:r w:rsidR="00422EB7">
        <w:rPr>
          <w:rFonts w:ascii="Times New Roman" w:hAnsi="Times New Roman"/>
        </w:rPr>
        <w:t>at</w:t>
      </w:r>
      <w:r w:rsidR="00613437">
        <w:rPr>
          <w:rFonts w:ascii="Times New Roman" w:hAnsi="Times New Roman"/>
        </w:rPr>
        <w:t xml:space="preserve"> </w:t>
      </w:r>
      <w:r w:rsidR="00422EB7">
        <w:rPr>
          <w:rFonts w:ascii="Times New Roman" w:hAnsi="Times New Roman"/>
        </w:rPr>
        <w:t>a</w:t>
      </w:r>
      <w:r w:rsidR="00613437">
        <w:rPr>
          <w:rFonts w:ascii="Times New Roman" w:hAnsi="Times New Roman"/>
        </w:rPr>
        <w:t xml:space="preserve"> </w:t>
      </w:r>
      <w:r w:rsidR="00422EB7">
        <w:rPr>
          <w:rFonts w:ascii="Times New Roman" w:hAnsi="Times New Roman"/>
        </w:rPr>
        <w:t xml:space="preserve">time, they </w:t>
      </w:r>
      <w:r w:rsidR="00613437">
        <w:rPr>
          <w:rFonts w:ascii="Times New Roman" w:hAnsi="Times New Roman"/>
        </w:rPr>
        <w:t xml:space="preserve">often </w:t>
      </w:r>
      <w:r w:rsidR="00422EB7">
        <w:rPr>
          <w:rFonts w:ascii="Times New Roman" w:hAnsi="Times New Roman"/>
        </w:rPr>
        <w:t xml:space="preserve">have the single goal of doing well in the next round. But when players precommit, they </w:t>
      </w:r>
      <w:r w:rsidR="00613437">
        <w:rPr>
          <w:rFonts w:ascii="Times New Roman" w:hAnsi="Times New Roman"/>
        </w:rPr>
        <w:t xml:space="preserve">more often </w:t>
      </w:r>
      <w:r w:rsidR="00422EB7">
        <w:rPr>
          <w:rFonts w:ascii="Times New Roman" w:hAnsi="Times New Roman"/>
        </w:rPr>
        <w:t xml:space="preserve">consider </w:t>
      </w:r>
      <w:r w:rsidR="009E716C">
        <w:rPr>
          <w:rFonts w:ascii="Times New Roman" w:hAnsi="Times New Roman"/>
        </w:rPr>
        <w:t>other goals as well, such as avoiding a negative cumulative result, achieving some overall payment threshold, or maximizing expected value</w:t>
      </w:r>
      <w:r w:rsidR="00613437">
        <w:rPr>
          <w:rFonts w:ascii="Times New Roman" w:hAnsi="Times New Roman"/>
        </w:rPr>
        <w:t>, and these additional goals lead them to invest more often</w:t>
      </w:r>
      <w:r w:rsidR="009E716C">
        <w:rPr>
          <w:rFonts w:ascii="Times New Roman" w:hAnsi="Times New Roman"/>
        </w:rPr>
        <w:t xml:space="preserve">. </w:t>
      </w:r>
    </w:p>
    <w:p w14:paraId="040F7C75" w14:textId="68E86885" w:rsidR="00EA04CD" w:rsidRDefault="00E751DC" w:rsidP="005B5C7B">
      <w:pPr>
        <w:spacing w:line="480" w:lineRule="auto"/>
        <w:ind w:firstLine="720"/>
        <w:rPr>
          <w:rFonts w:ascii="Times New Roman" w:hAnsi="Times New Roman"/>
        </w:rPr>
      </w:pPr>
      <w:r w:rsidRPr="002208A3">
        <w:rPr>
          <w:rFonts w:ascii="Times New Roman" w:hAnsi="Times New Roman"/>
        </w:rPr>
        <w:t>We</w:t>
      </w:r>
      <w:r w:rsidR="00CF228D" w:rsidRPr="002208A3">
        <w:rPr>
          <w:rFonts w:ascii="Times New Roman" w:hAnsi="Times New Roman"/>
        </w:rPr>
        <w:t xml:space="preserve"> </w:t>
      </w:r>
      <w:r w:rsidRPr="002208A3">
        <w:rPr>
          <w:rFonts w:ascii="Times New Roman" w:hAnsi="Times New Roman"/>
        </w:rPr>
        <w:t xml:space="preserve">also </w:t>
      </w:r>
      <w:r w:rsidR="0007447C">
        <w:rPr>
          <w:rFonts w:ascii="Times New Roman" w:hAnsi="Times New Roman"/>
        </w:rPr>
        <w:t>theorize</w:t>
      </w:r>
      <w:r w:rsidR="0007447C" w:rsidRPr="002208A3">
        <w:rPr>
          <w:rFonts w:ascii="Times New Roman" w:hAnsi="Times New Roman"/>
        </w:rPr>
        <w:t xml:space="preserve"> </w:t>
      </w:r>
      <w:r w:rsidR="00CF228D" w:rsidRPr="002208A3">
        <w:rPr>
          <w:rFonts w:ascii="Times New Roman" w:hAnsi="Times New Roman"/>
        </w:rPr>
        <w:t xml:space="preserve">that </w:t>
      </w:r>
      <w:r w:rsidR="009E68ED">
        <w:rPr>
          <w:rFonts w:ascii="Times New Roman" w:hAnsi="Times New Roman"/>
        </w:rPr>
        <w:t>SPDs</w:t>
      </w:r>
      <w:r w:rsidR="004A6A29" w:rsidRPr="002208A3">
        <w:rPr>
          <w:rFonts w:ascii="Times New Roman" w:hAnsi="Times New Roman"/>
        </w:rPr>
        <w:t xml:space="preserve"> </w:t>
      </w:r>
      <w:r w:rsidR="00810224">
        <w:rPr>
          <w:rFonts w:ascii="Times New Roman" w:hAnsi="Times New Roman"/>
        </w:rPr>
        <w:t xml:space="preserve">(as compared with </w:t>
      </w:r>
      <w:r w:rsidR="009E68ED">
        <w:rPr>
          <w:rFonts w:ascii="Times New Roman" w:hAnsi="Times New Roman"/>
        </w:rPr>
        <w:t>DPDs</w:t>
      </w:r>
      <w:r w:rsidR="00810224">
        <w:rPr>
          <w:rFonts w:ascii="Times New Roman" w:hAnsi="Times New Roman"/>
        </w:rPr>
        <w:t xml:space="preserve">) </w:t>
      </w:r>
      <w:r w:rsidR="007977FC">
        <w:rPr>
          <w:rFonts w:ascii="Times New Roman" w:hAnsi="Times New Roman"/>
        </w:rPr>
        <w:t xml:space="preserve">induce decision makers to </w:t>
      </w:r>
      <w:r w:rsidR="004A6A29" w:rsidRPr="002208A3">
        <w:rPr>
          <w:rFonts w:ascii="Times New Roman" w:hAnsi="Times New Roman"/>
        </w:rPr>
        <w:t xml:space="preserve">focus </w:t>
      </w:r>
      <w:r w:rsidR="00FB3B5F">
        <w:rPr>
          <w:rFonts w:ascii="Times New Roman" w:hAnsi="Times New Roman"/>
        </w:rPr>
        <w:t>more</w:t>
      </w:r>
      <w:r w:rsidR="00FB3B5F" w:rsidRPr="002208A3">
        <w:rPr>
          <w:rFonts w:ascii="Times New Roman" w:hAnsi="Times New Roman"/>
        </w:rPr>
        <w:t xml:space="preserve"> </w:t>
      </w:r>
      <w:r w:rsidR="00987580" w:rsidRPr="002208A3">
        <w:rPr>
          <w:rFonts w:ascii="Times New Roman" w:hAnsi="Times New Roman"/>
        </w:rPr>
        <w:t>on</w:t>
      </w:r>
      <w:r w:rsidR="004A6A29" w:rsidRPr="002208A3">
        <w:rPr>
          <w:rFonts w:ascii="Times New Roman" w:hAnsi="Times New Roman"/>
        </w:rPr>
        <w:t xml:space="preserve"> probability and less on the social dilemma nature of the situation</w:t>
      </w:r>
      <w:r w:rsidR="00987580" w:rsidRPr="002208A3">
        <w:rPr>
          <w:rFonts w:ascii="Times New Roman" w:hAnsi="Times New Roman"/>
        </w:rPr>
        <w:t xml:space="preserve"> and the actions of their counterpart</w:t>
      </w:r>
      <w:r w:rsidR="004A6A29" w:rsidRPr="002208A3">
        <w:rPr>
          <w:rFonts w:ascii="Times New Roman" w:hAnsi="Times New Roman"/>
        </w:rPr>
        <w:t>.</w:t>
      </w:r>
      <w:r w:rsidR="00EA04CD">
        <w:rPr>
          <w:rFonts w:ascii="Times New Roman" w:hAnsi="Times New Roman"/>
        </w:rPr>
        <w:t xml:space="preserve"> </w:t>
      </w:r>
      <w:r w:rsidR="00810224">
        <w:rPr>
          <w:rFonts w:ascii="Times New Roman" w:hAnsi="Times New Roman"/>
        </w:rPr>
        <w:t xml:space="preserve">This happens because human attention and cognition are limited; as compared to deterministic situations, </w:t>
      </w:r>
      <w:r w:rsidR="009E68ED">
        <w:rPr>
          <w:rFonts w:ascii="Times New Roman" w:hAnsi="Times New Roman"/>
        </w:rPr>
        <w:t xml:space="preserve">SPD </w:t>
      </w:r>
      <w:r w:rsidR="00810224">
        <w:rPr>
          <w:rFonts w:ascii="Times New Roman" w:hAnsi="Times New Roman"/>
        </w:rPr>
        <w:t xml:space="preserve">situations add outcome </w:t>
      </w:r>
      <w:r w:rsidR="007312DA">
        <w:rPr>
          <w:rFonts w:ascii="Times New Roman" w:hAnsi="Times New Roman"/>
        </w:rPr>
        <w:t>risk</w:t>
      </w:r>
      <w:r w:rsidR="00810224">
        <w:rPr>
          <w:rFonts w:ascii="Times New Roman" w:hAnsi="Times New Roman"/>
        </w:rPr>
        <w:t xml:space="preserve"> as a </w:t>
      </w:r>
      <w:r w:rsidR="00810224">
        <w:rPr>
          <w:rFonts w:ascii="Times New Roman" w:hAnsi="Times New Roman"/>
        </w:rPr>
        <w:lastRenderedPageBreak/>
        <w:t>salient and impactful factor, capturing attention and processing and therefore reducing the focus on the</w:t>
      </w:r>
      <w:r w:rsidR="007977FC">
        <w:rPr>
          <w:rFonts w:ascii="Times New Roman" w:hAnsi="Times New Roman"/>
        </w:rPr>
        <w:t>ir</w:t>
      </w:r>
      <w:r w:rsidR="00810224">
        <w:rPr>
          <w:rFonts w:ascii="Times New Roman" w:hAnsi="Times New Roman"/>
        </w:rPr>
        <w:t xml:space="preserve"> counterpart. </w:t>
      </w:r>
      <w:r w:rsidR="007312DA">
        <w:rPr>
          <w:rFonts w:ascii="Times New Roman" w:hAnsi="Times New Roman"/>
        </w:rPr>
        <w:t>Furthermore</w:t>
      </w:r>
      <w:r w:rsidR="00AA7128">
        <w:rPr>
          <w:rFonts w:ascii="Times New Roman" w:hAnsi="Times New Roman"/>
        </w:rPr>
        <w:t>,</w:t>
      </w:r>
      <w:r w:rsidR="007312DA">
        <w:rPr>
          <w:rFonts w:ascii="Times New Roman" w:hAnsi="Times New Roman"/>
        </w:rPr>
        <w:t xml:space="preserve"> precommitment reduces the frequency and immediacy of feedback, further weakening focus on the actions of the counterpart</w:t>
      </w:r>
      <w:r w:rsidR="00AA7128">
        <w:rPr>
          <w:rFonts w:ascii="Times New Roman" w:hAnsi="Times New Roman"/>
        </w:rPr>
        <w:t xml:space="preserve"> and increasing focus on cumulative probabilities and outcomes</w:t>
      </w:r>
      <w:r w:rsidR="007312DA">
        <w:rPr>
          <w:rFonts w:ascii="Times New Roman" w:hAnsi="Times New Roman"/>
        </w:rPr>
        <w:t xml:space="preserve">. </w:t>
      </w:r>
    </w:p>
    <w:p w14:paraId="0859F350" w14:textId="24A6B5C9" w:rsidR="004842AB" w:rsidRDefault="00E751DC" w:rsidP="00CE3C01">
      <w:pPr>
        <w:spacing w:line="480" w:lineRule="auto"/>
        <w:ind w:firstLine="720"/>
        <w:rPr>
          <w:rFonts w:ascii="Times New Roman" w:hAnsi="Times New Roman"/>
        </w:rPr>
      </w:pPr>
      <w:r w:rsidRPr="002208A3">
        <w:rPr>
          <w:rFonts w:ascii="Times New Roman" w:hAnsi="Times New Roman"/>
        </w:rPr>
        <w:t xml:space="preserve">We </w:t>
      </w:r>
      <w:r w:rsidR="004A6A29" w:rsidRPr="002208A3">
        <w:rPr>
          <w:rFonts w:ascii="Times New Roman" w:hAnsi="Times New Roman"/>
        </w:rPr>
        <w:t xml:space="preserve">hypothesize that when participants </w:t>
      </w:r>
      <w:r w:rsidR="00895E50" w:rsidRPr="002208A3">
        <w:rPr>
          <w:rFonts w:ascii="Times New Roman" w:hAnsi="Times New Roman"/>
        </w:rPr>
        <w:t xml:space="preserve">are forced to </w:t>
      </w:r>
      <w:r w:rsidR="00585296" w:rsidRPr="002208A3">
        <w:rPr>
          <w:rFonts w:ascii="Times New Roman" w:hAnsi="Times New Roman"/>
        </w:rPr>
        <w:t>precommit</w:t>
      </w:r>
      <w:r w:rsidR="00467C80" w:rsidRPr="002208A3">
        <w:rPr>
          <w:rFonts w:ascii="Times New Roman" w:hAnsi="Times New Roman"/>
        </w:rPr>
        <w:t xml:space="preserve"> their actions for multiple rounds, it </w:t>
      </w:r>
      <w:r w:rsidR="00B637FF">
        <w:rPr>
          <w:rFonts w:ascii="Times New Roman" w:hAnsi="Times New Roman"/>
        </w:rPr>
        <w:t xml:space="preserve">leads them to reflect on a longer </w:t>
      </w:r>
      <w:r w:rsidR="00467C80" w:rsidRPr="002208A3">
        <w:rPr>
          <w:rFonts w:ascii="Times New Roman" w:hAnsi="Times New Roman"/>
        </w:rPr>
        <w:t xml:space="preserve">time horizon, </w:t>
      </w:r>
      <w:r w:rsidR="00F827CC" w:rsidRPr="002208A3">
        <w:rPr>
          <w:rFonts w:ascii="Times New Roman" w:hAnsi="Times New Roman"/>
        </w:rPr>
        <w:t>thereby</w:t>
      </w:r>
      <w:r w:rsidR="00467C80" w:rsidRPr="002208A3">
        <w:rPr>
          <w:rFonts w:ascii="Times New Roman" w:hAnsi="Times New Roman"/>
        </w:rPr>
        <w:t xml:space="preserve"> </w:t>
      </w:r>
      <w:r w:rsidR="007E1D3B">
        <w:rPr>
          <w:rFonts w:ascii="Times New Roman" w:hAnsi="Times New Roman"/>
        </w:rPr>
        <w:t>changing their goals and goal weighting</w:t>
      </w:r>
      <w:r w:rsidR="00CA480C">
        <w:rPr>
          <w:rFonts w:ascii="Times New Roman" w:hAnsi="Times New Roman"/>
        </w:rPr>
        <w:t>, leading</w:t>
      </w:r>
      <w:r w:rsidR="00B637FF">
        <w:rPr>
          <w:rFonts w:ascii="Times New Roman" w:hAnsi="Times New Roman"/>
        </w:rPr>
        <w:t xml:space="preserve"> them to increase their </w:t>
      </w:r>
      <w:r w:rsidR="00524A9B" w:rsidRPr="002208A3">
        <w:rPr>
          <w:rFonts w:ascii="Times New Roman" w:hAnsi="Times New Roman"/>
        </w:rPr>
        <w:t>investment rates.</w:t>
      </w:r>
      <w:r w:rsidR="00CE3C01">
        <w:rPr>
          <w:rFonts w:ascii="Times New Roman" w:hAnsi="Times New Roman"/>
        </w:rPr>
        <w:t xml:space="preserve"> </w:t>
      </w:r>
      <w:r w:rsidR="00597239" w:rsidRPr="002208A3">
        <w:rPr>
          <w:rFonts w:ascii="Times New Roman" w:hAnsi="Times New Roman"/>
        </w:rPr>
        <w:t>W</w:t>
      </w:r>
      <w:r w:rsidR="00524A9B" w:rsidRPr="002208A3">
        <w:rPr>
          <w:rFonts w:ascii="Times New Roman" w:hAnsi="Times New Roman"/>
        </w:rPr>
        <w:t xml:space="preserve">hen a player considers one round, </w:t>
      </w:r>
      <w:r w:rsidR="00CE3C01">
        <w:rPr>
          <w:rFonts w:ascii="Times New Roman" w:hAnsi="Times New Roman"/>
        </w:rPr>
        <w:t>they</w:t>
      </w:r>
      <w:r w:rsidR="00CE3C01" w:rsidRPr="002208A3">
        <w:rPr>
          <w:rFonts w:ascii="Times New Roman" w:hAnsi="Times New Roman"/>
        </w:rPr>
        <w:t xml:space="preserve"> </w:t>
      </w:r>
      <w:r w:rsidR="00524A9B" w:rsidRPr="002208A3">
        <w:rPr>
          <w:rFonts w:ascii="Times New Roman" w:hAnsi="Times New Roman"/>
        </w:rPr>
        <w:t xml:space="preserve">compare a sure loss (investment) with a </w:t>
      </w:r>
      <w:r w:rsidR="00AA7128">
        <w:rPr>
          <w:rFonts w:ascii="Times New Roman" w:hAnsi="Times New Roman"/>
        </w:rPr>
        <w:t>risky</w:t>
      </w:r>
      <w:r w:rsidR="00524A9B" w:rsidRPr="002208A3">
        <w:rPr>
          <w:rFonts w:ascii="Times New Roman" w:hAnsi="Times New Roman"/>
        </w:rPr>
        <w:t xml:space="preserve"> loss, and opt for the risky option, consistent with </w:t>
      </w:r>
      <w:r w:rsidR="00CE3C01">
        <w:rPr>
          <w:rFonts w:ascii="Times New Roman" w:hAnsi="Times New Roman"/>
        </w:rPr>
        <w:t>P</w:t>
      </w:r>
      <w:r w:rsidR="00CE3C01" w:rsidRPr="002208A3">
        <w:rPr>
          <w:rFonts w:ascii="Times New Roman" w:hAnsi="Times New Roman"/>
        </w:rPr>
        <w:t xml:space="preserve">rospect </w:t>
      </w:r>
      <w:r w:rsidR="00CE3C01">
        <w:rPr>
          <w:rFonts w:ascii="Times New Roman" w:hAnsi="Times New Roman"/>
        </w:rPr>
        <w:t>T</w:t>
      </w:r>
      <w:r w:rsidR="00CE3C01" w:rsidRPr="002208A3">
        <w:rPr>
          <w:rFonts w:ascii="Times New Roman" w:hAnsi="Times New Roman"/>
        </w:rPr>
        <w:t>heory</w:t>
      </w:r>
      <w:r w:rsidR="00CE3C01">
        <w:rPr>
          <w:rFonts w:ascii="Times New Roman" w:hAnsi="Times New Roman"/>
        </w:rPr>
        <w:t xml:space="preserve"> </w:t>
      </w:r>
      <w:r w:rsidR="00720D24">
        <w:rPr>
          <w:rFonts w:ascii="Times New Roman" w:hAnsi="Times New Roman"/>
        </w:rPr>
        <w:fldChar w:fldCharType="begin" w:fldLock="1"/>
      </w:r>
      <w:r w:rsidR="005B1C17">
        <w:rPr>
          <w:rFonts w:ascii="Times New Roman" w:hAnsi="Times New Roman"/>
        </w:rPr>
        <w:instrText>ADDIN CSL_CITATION {"citationItems":[{"id":"ITEM-1","itemData":{"author":[{"dropping-particle":"","family":"Kahneman","given":"Daniel","non-dropping-particle":"","parse-names":false,"suffix":""},{"dropping-particle":"","family":"Tversky","given":"Amos","non-dropping-particle":"","parse-names":false,"suffix":""}],"container-title":"Handbook of the fundamentals of financial decision making: Part I","id":"ITEM-1","issued":{"date-parts":[["2013"]]},"page":"99-127","publisher":"World Scientific","title":"Prospect theory: An analysis of decision under risk","type":"chapter"},"uris":["http://www.mendeley.com/documents/?uuid=bf37cf3d-e5ba-4ae3-a3d6-fdc0fc701a14"]}],"mendeley":{"formattedCitation":"(Kahneman &amp; Tversky, 2013)","plainTextFormattedCitation":"(Kahneman &amp; Tversky, 2013)","previouslyFormattedCitation":"(Kahneman and Tversky 2013)"},"properties":{"noteIndex":0},"schema":"https://github.com/citation-style-language/schema/raw/master/csl-citation.json"}</w:instrText>
      </w:r>
      <w:r w:rsidR="00720D24">
        <w:rPr>
          <w:rFonts w:ascii="Times New Roman" w:hAnsi="Times New Roman"/>
        </w:rPr>
        <w:fldChar w:fldCharType="separate"/>
      </w:r>
      <w:r w:rsidR="005B1C17" w:rsidRPr="005B1C17">
        <w:rPr>
          <w:rFonts w:ascii="Times New Roman" w:hAnsi="Times New Roman"/>
          <w:noProof/>
        </w:rPr>
        <w:t>(Kahneman &amp; Tversky, 2013)</w:t>
      </w:r>
      <w:r w:rsidR="00720D24">
        <w:rPr>
          <w:rFonts w:ascii="Times New Roman" w:hAnsi="Times New Roman"/>
        </w:rPr>
        <w:fldChar w:fldCharType="end"/>
      </w:r>
      <w:r w:rsidR="00524A9B" w:rsidRPr="002208A3">
        <w:rPr>
          <w:rFonts w:ascii="Times New Roman" w:hAnsi="Times New Roman"/>
        </w:rPr>
        <w:t xml:space="preserve">. </w:t>
      </w:r>
      <w:r w:rsidR="009F434D" w:rsidRPr="002208A3">
        <w:rPr>
          <w:rFonts w:ascii="Times New Roman" w:hAnsi="Times New Roman"/>
        </w:rPr>
        <w:t>W</w:t>
      </w:r>
      <w:r w:rsidR="00524A9B" w:rsidRPr="002208A3">
        <w:rPr>
          <w:rFonts w:ascii="Times New Roman" w:hAnsi="Times New Roman"/>
        </w:rPr>
        <w:t xml:space="preserve">hen precommitting for 20 rounds, </w:t>
      </w:r>
      <w:r w:rsidR="009F434D" w:rsidRPr="002208A3">
        <w:rPr>
          <w:rFonts w:ascii="Times New Roman" w:hAnsi="Times New Roman"/>
        </w:rPr>
        <w:t xml:space="preserve">however, </w:t>
      </w:r>
      <w:r w:rsidR="00524A9B" w:rsidRPr="002208A3">
        <w:rPr>
          <w:rFonts w:ascii="Times New Roman" w:hAnsi="Times New Roman"/>
        </w:rPr>
        <w:t xml:space="preserve">the </w:t>
      </w:r>
      <w:r w:rsidR="007F769C">
        <w:rPr>
          <w:rFonts w:ascii="Times New Roman" w:hAnsi="Times New Roman"/>
        </w:rPr>
        <w:t xml:space="preserve">importance of the cumulative payout </w:t>
      </w:r>
      <w:r w:rsidR="00B637FF">
        <w:rPr>
          <w:rFonts w:ascii="Times New Roman" w:hAnsi="Times New Roman"/>
        </w:rPr>
        <w:t xml:space="preserve">increases </w:t>
      </w:r>
      <w:r w:rsidR="00524A9B" w:rsidRPr="002208A3">
        <w:rPr>
          <w:rFonts w:ascii="Times New Roman" w:hAnsi="Times New Roman"/>
        </w:rPr>
        <w:t xml:space="preserve">and the same player may </w:t>
      </w:r>
      <w:r w:rsidR="00B637FF">
        <w:rPr>
          <w:rFonts w:ascii="Times New Roman" w:hAnsi="Times New Roman"/>
        </w:rPr>
        <w:t xml:space="preserve">now </w:t>
      </w:r>
      <w:r w:rsidR="00524A9B" w:rsidRPr="002208A3">
        <w:rPr>
          <w:rFonts w:ascii="Times New Roman" w:hAnsi="Times New Roman"/>
        </w:rPr>
        <w:t xml:space="preserve">invest in protection. </w:t>
      </w:r>
      <w:r w:rsidR="00046DD9">
        <w:rPr>
          <w:rFonts w:ascii="Times New Roman" w:hAnsi="Times New Roman"/>
        </w:rPr>
        <w:t xml:space="preserve">In other words, the focus of decision-maker will shift from one individual outcome to the cumulative distribution of outcomes, which in turn will lead to safer choices. </w:t>
      </w:r>
    </w:p>
    <w:p w14:paraId="569F8AD0" w14:textId="2C3E3F78" w:rsidR="000C0B7E" w:rsidRDefault="009F434D" w:rsidP="005B5C7B">
      <w:pPr>
        <w:spacing w:line="480" w:lineRule="auto"/>
        <w:ind w:firstLine="720"/>
        <w:rPr>
          <w:rFonts w:ascii="Times New Roman" w:hAnsi="Times New Roman"/>
        </w:rPr>
      </w:pPr>
      <w:r w:rsidRPr="002208A3">
        <w:rPr>
          <w:rFonts w:ascii="Times New Roman" w:hAnsi="Times New Roman"/>
        </w:rPr>
        <w:t>Yet</w:t>
      </w:r>
      <w:r w:rsidR="00EE1DF5" w:rsidRPr="002208A3">
        <w:rPr>
          <w:rFonts w:ascii="Times New Roman" w:hAnsi="Times New Roman"/>
        </w:rPr>
        <w:t xml:space="preserve">, the player </w:t>
      </w:r>
      <w:r w:rsidR="007977FC">
        <w:rPr>
          <w:rFonts w:ascii="Times New Roman" w:hAnsi="Times New Roman"/>
        </w:rPr>
        <w:t>may</w:t>
      </w:r>
      <w:r w:rsidR="007977FC" w:rsidRPr="002208A3">
        <w:rPr>
          <w:rFonts w:ascii="Times New Roman" w:hAnsi="Times New Roman"/>
        </w:rPr>
        <w:t xml:space="preserve"> </w:t>
      </w:r>
      <w:r w:rsidR="00EE1DF5" w:rsidRPr="002208A3">
        <w:rPr>
          <w:rFonts w:ascii="Times New Roman" w:hAnsi="Times New Roman"/>
        </w:rPr>
        <w:t xml:space="preserve">also consider the actions of </w:t>
      </w:r>
      <w:r w:rsidR="00984E62">
        <w:rPr>
          <w:rFonts w:ascii="Times New Roman" w:hAnsi="Times New Roman"/>
        </w:rPr>
        <w:t>their</w:t>
      </w:r>
      <w:r w:rsidR="00984E62" w:rsidRPr="002208A3">
        <w:rPr>
          <w:rFonts w:ascii="Times New Roman" w:hAnsi="Times New Roman"/>
        </w:rPr>
        <w:t xml:space="preserve"> </w:t>
      </w:r>
      <w:r w:rsidR="00EE1DF5" w:rsidRPr="002208A3">
        <w:rPr>
          <w:rFonts w:ascii="Times New Roman" w:hAnsi="Times New Roman"/>
        </w:rPr>
        <w:t xml:space="preserve">counterpart; if </w:t>
      </w:r>
      <w:r w:rsidR="00984E62">
        <w:rPr>
          <w:rFonts w:ascii="Times New Roman" w:hAnsi="Times New Roman"/>
        </w:rPr>
        <w:t>the player</w:t>
      </w:r>
      <w:r w:rsidR="00984E62" w:rsidRPr="002208A3">
        <w:rPr>
          <w:rFonts w:ascii="Times New Roman" w:hAnsi="Times New Roman"/>
        </w:rPr>
        <w:t xml:space="preserve"> </w:t>
      </w:r>
      <w:r w:rsidR="00EE1DF5" w:rsidRPr="002208A3">
        <w:rPr>
          <w:rFonts w:ascii="Times New Roman" w:hAnsi="Times New Roman"/>
        </w:rPr>
        <w:t xml:space="preserve">invests in protection, </w:t>
      </w:r>
      <w:r w:rsidR="00984E62">
        <w:rPr>
          <w:rFonts w:ascii="Times New Roman" w:hAnsi="Times New Roman"/>
        </w:rPr>
        <w:t>their</w:t>
      </w:r>
      <w:r w:rsidR="00984E62" w:rsidRPr="002208A3">
        <w:rPr>
          <w:rFonts w:ascii="Times New Roman" w:hAnsi="Times New Roman"/>
        </w:rPr>
        <w:t xml:space="preserve"> </w:t>
      </w:r>
      <w:r w:rsidR="00EE1DF5" w:rsidRPr="002208A3">
        <w:rPr>
          <w:rFonts w:ascii="Times New Roman" w:hAnsi="Times New Roman"/>
        </w:rPr>
        <w:t xml:space="preserve">counterpart may free-ride. For this reason, a precommitment to protection may risk opening the player up to exploitation, and thus precommitment might, instead, </w:t>
      </w:r>
      <w:r w:rsidR="00EE1DF5" w:rsidRPr="002208A3">
        <w:rPr>
          <w:rFonts w:ascii="Times New Roman" w:hAnsi="Times New Roman"/>
          <w:i/>
        </w:rPr>
        <w:t xml:space="preserve">decrease </w:t>
      </w:r>
      <w:r w:rsidR="00EE1DF5" w:rsidRPr="002208A3">
        <w:rPr>
          <w:rFonts w:ascii="Times New Roman" w:hAnsi="Times New Roman"/>
        </w:rPr>
        <w:t xml:space="preserve">investment in </w:t>
      </w:r>
      <w:r w:rsidR="007977FC">
        <w:rPr>
          <w:rFonts w:ascii="Times New Roman" w:hAnsi="Times New Roman"/>
        </w:rPr>
        <w:t>SPD</w:t>
      </w:r>
      <w:r w:rsidR="007977FC" w:rsidRPr="002208A3">
        <w:rPr>
          <w:rFonts w:ascii="Times New Roman" w:hAnsi="Times New Roman"/>
        </w:rPr>
        <w:t xml:space="preserve"> </w:t>
      </w:r>
      <w:r w:rsidR="00EE1DF5" w:rsidRPr="002208A3">
        <w:rPr>
          <w:rFonts w:ascii="Times New Roman" w:hAnsi="Times New Roman"/>
        </w:rPr>
        <w:t xml:space="preserve">situations. </w:t>
      </w:r>
      <w:r w:rsidR="00665FD5" w:rsidRPr="002208A3">
        <w:rPr>
          <w:rFonts w:ascii="Times New Roman" w:hAnsi="Times New Roman"/>
        </w:rPr>
        <w:t xml:space="preserve">In line with that argument, </w:t>
      </w:r>
      <w:proofErr w:type="spellStart"/>
      <w:r w:rsidR="00BC622E" w:rsidRPr="002208A3">
        <w:rPr>
          <w:rFonts w:ascii="Times New Roman" w:hAnsi="Times New Roman"/>
        </w:rPr>
        <w:t>Faillo</w:t>
      </w:r>
      <w:proofErr w:type="spellEnd"/>
      <w:r w:rsidR="00BC622E" w:rsidRPr="002208A3">
        <w:rPr>
          <w:rFonts w:ascii="Times New Roman" w:hAnsi="Times New Roman"/>
        </w:rPr>
        <w:t xml:space="preserve">, Greico, and </w:t>
      </w:r>
      <w:proofErr w:type="spellStart"/>
      <w:r w:rsidR="00BC622E" w:rsidRPr="002208A3">
        <w:rPr>
          <w:rFonts w:ascii="Times New Roman" w:hAnsi="Times New Roman"/>
        </w:rPr>
        <w:t>Zarri</w:t>
      </w:r>
      <w:proofErr w:type="spellEnd"/>
      <w:r w:rsidR="00720D24">
        <w:rPr>
          <w:rFonts w:ascii="Times New Roman" w:hAnsi="Times New Roman"/>
        </w:rPr>
        <w:t xml:space="preserve"> </w:t>
      </w:r>
      <w:r w:rsidR="00720D24">
        <w:rPr>
          <w:rFonts w:ascii="Times New Roman" w:hAnsi="Times New Roman"/>
        </w:rPr>
        <w:fldChar w:fldCharType="begin" w:fldLock="1"/>
      </w:r>
      <w:r w:rsidR="005B1C17">
        <w:rPr>
          <w:rFonts w:ascii="Times New Roman" w:hAnsi="Times New Roman"/>
        </w:rPr>
        <w:instrText>ADDIN CSL_CITATION {"citationItems":[{"id":"ITEM-1","itemData":{"ISSN":"0899-8256","author":[{"dropping-particle":"","family":"Faillo","given":"Marco","non-dropping-particle":"","parse-names":false,"suffix":""},{"dropping-particle":"","family":"Grieco","given":"Daniela","non-dropping-particle":"","parse-names":false,"suffix":""},{"dropping-particle":"","family":"Zarri","given":"Luca","non-dropping-particle":"","parse-names":false,"suffix":""}],"container-title":"Games and Economic Behavior","id":"ITEM-1","issue":"1","issued":{"date-parts":[["2013"]]},"page":"271-283","publisher":"Elsevier","title":"Legitimate punishment, feedback, and the enforcement of cooperation","type":"article-journal","volume":"77"},"uris":["http://www.mendeley.com/documents/?uuid=eff13ee9-4582-470a-bb90-3dd89813d9c4"]}],"mendeley":{"formattedCitation":"(Faillo et al., 2013)","manualFormatting":"(2013)","plainTextFormattedCitation":"(Faillo et al., 2013)","previouslyFormattedCitation":"(Faillo et al. 2013)"},"properties":{"noteIndex":0},"schema":"https://github.com/citation-style-language/schema/raw/master/csl-citation.json"}</w:instrText>
      </w:r>
      <w:r w:rsidR="00720D24">
        <w:rPr>
          <w:rFonts w:ascii="Times New Roman" w:hAnsi="Times New Roman"/>
        </w:rPr>
        <w:fldChar w:fldCharType="separate"/>
      </w:r>
      <w:r w:rsidR="00720D24" w:rsidRPr="00720D24">
        <w:rPr>
          <w:rFonts w:ascii="Times New Roman" w:hAnsi="Times New Roman"/>
          <w:noProof/>
        </w:rPr>
        <w:t>(2013)</w:t>
      </w:r>
      <w:r w:rsidR="00720D24">
        <w:rPr>
          <w:rFonts w:ascii="Times New Roman" w:hAnsi="Times New Roman"/>
        </w:rPr>
        <w:fldChar w:fldCharType="end"/>
      </w:r>
      <w:r w:rsidR="00665FD5" w:rsidRPr="002208A3">
        <w:rPr>
          <w:rFonts w:ascii="Times New Roman" w:hAnsi="Times New Roman"/>
        </w:rPr>
        <w:t xml:space="preserve"> found that eliminating the feedback of counterpart actions </w:t>
      </w:r>
      <w:r w:rsidR="00665FD5" w:rsidRPr="002B5ADD">
        <w:rPr>
          <w:rFonts w:ascii="Times New Roman" w:hAnsi="Times New Roman"/>
        </w:rPr>
        <w:t xml:space="preserve">diminishes cooperation. </w:t>
      </w:r>
      <w:r w:rsidR="005D6036">
        <w:rPr>
          <w:rFonts w:ascii="Times New Roman" w:hAnsi="Times New Roman"/>
        </w:rPr>
        <w:t xml:space="preserve">Similarly, Bolton, Greiner, &amp; Ockenfels </w:t>
      </w:r>
      <w:r w:rsidR="00720D24">
        <w:rPr>
          <w:rFonts w:ascii="Times New Roman" w:hAnsi="Times New Roman"/>
        </w:rPr>
        <w:fldChar w:fldCharType="begin" w:fldLock="1"/>
      </w:r>
      <w:r w:rsidR="005B1C17">
        <w:rPr>
          <w:rFonts w:ascii="Times New Roman" w:hAnsi="Times New Roman"/>
        </w:rPr>
        <w:instrText>ADDIN CSL_CITATION {"citationItems":[{"id":"ITEM-1","itemData":{"ISSN":"0025-1909","author":[{"dropping-particle":"","family":"Bolton","given":"Gary","non-dropping-particle":"","parse-names":false,"suffix":""},{"dropping-particle":"","family":"Greiner","given":"Ben","non-dropping-particle":"","parse-names":false,"suffix":""},{"dropping-particle":"","family":"Ockenfels","given":"Axel","non-dropping-particle":"","parse-names":false,"suffix":""}],"container-title":"Management Science","id":"ITEM-1","issue":"9","issued":{"date-parts":[["2018"]]},"page":"4009-4031","publisher":"INFORMS","title":"Dispute resolution or escalation? The strategic gaming of feedback withdrawal options in online markets","type":"article-journal","volume":"64"},"uris":["http://www.mendeley.com/documents/?uuid=ff14abc6-bbb8-45d1-be72-25dbb90768b0"]}],"mendeley":{"formattedCitation":"(Bolton et al., 2018)","manualFormatting":"(2018)","plainTextFormattedCitation":"(Bolton et al., 2018)","previouslyFormattedCitation":"(Bolton et al. 2018)"},"properties":{"noteIndex":0},"schema":"https://github.com/citation-style-language/schema/raw/master/csl-citation.json"}</w:instrText>
      </w:r>
      <w:r w:rsidR="00720D24">
        <w:rPr>
          <w:rFonts w:ascii="Times New Roman" w:hAnsi="Times New Roman"/>
        </w:rPr>
        <w:fldChar w:fldCharType="separate"/>
      </w:r>
      <w:r w:rsidR="00720D24" w:rsidRPr="00720D24">
        <w:rPr>
          <w:rFonts w:ascii="Times New Roman" w:hAnsi="Times New Roman"/>
          <w:noProof/>
        </w:rPr>
        <w:t>(2018)</w:t>
      </w:r>
      <w:r w:rsidR="00720D24">
        <w:rPr>
          <w:rFonts w:ascii="Times New Roman" w:hAnsi="Times New Roman"/>
        </w:rPr>
        <w:fldChar w:fldCharType="end"/>
      </w:r>
      <w:r w:rsidR="005D6036">
        <w:rPr>
          <w:rFonts w:ascii="Times New Roman" w:hAnsi="Times New Roman"/>
        </w:rPr>
        <w:t xml:space="preserve"> found that feedback withdrawal options may create situations where they would </w:t>
      </w:r>
      <w:r w:rsidR="004D0A82">
        <w:rPr>
          <w:rFonts w:ascii="Times New Roman" w:hAnsi="Times New Roman"/>
        </w:rPr>
        <w:t>hinder rather than promote</w:t>
      </w:r>
      <w:r w:rsidR="005D6036">
        <w:rPr>
          <w:rFonts w:ascii="Times New Roman" w:hAnsi="Times New Roman"/>
        </w:rPr>
        <w:t xml:space="preserve"> trust. </w:t>
      </w:r>
      <w:r w:rsidR="00665FD5" w:rsidRPr="002B5ADD">
        <w:rPr>
          <w:rFonts w:ascii="Times New Roman" w:hAnsi="Times New Roman"/>
        </w:rPr>
        <w:t>Precommitment</w:t>
      </w:r>
      <w:r w:rsidR="008765EF" w:rsidRPr="002B5ADD">
        <w:rPr>
          <w:rFonts w:ascii="Times New Roman" w:hAnsi="Times New Roman"/>
        </w:rPr>
        <w:t xml:space="preserve"> </w:t>
      </w:r>
      <w:r w:rsidR="002B5ADD">
        <w:rPr>
          <w:rFonts w:ascii="Times New Roman" w:hAnsi="Times New Roman"/>
        </w:rPr>
        <w:t>also reduces feedback of counterpart actions</w:t>
      </w:r>
      <w:r w:rsidR="008765EF" w:rsidRPr="002B5ADD">
        <w:rPr>
          <w:rFonts w:ascii="Times New Roman" w:hAnsi="Times New Roman"/>
        </w:rPr>
        <w:t xml:space="preserve"> and thus, </w:t>
      </w:r>
      <w:r w:rsidR="00B637FF">
        <w:rPr>
          <w:rFonts w:ascii="Times New Roman" w:hAnsi="Times New Roman"/>
        </w:rPr>
        <w:t xml:space="preserve">one needs to </w:t>
      </w:r>
      <w:r w:rsidR="008765EF" w:rsidRPr="002B5ADD">
        <w:rPr>
          <w:rFonts w:ascii="Times New Roman" w:hAnsi="Times New Roman"/>
        </w:rPr>
        <w:t>consider this hypothesis.</w:t>
      </w:r>
      <w:r w:rsidR="008765EF" w:rsidRPr="002208A3">
        <w:rPr>
          <w:rFonts w:ascii="Times New Roman" w:hAnsi="Times New Roman"/>
        </w:rPr>
        <w:t xml:space="preserve"> </w:t>
      </w:r>
      <w:r w:rsidR="003D7B9B" w:rsidRPr="002208A3">
        <w:rPr>
          <w:rFonts w:ascii="Times New Roman" w:hAnsi="Times New Roman"/>
        </w:rPr>
        <w:t xml:space="preserve">The present research tested which of these possibilities would play out, and under which conditions. </w:t>
      </w:r>
      <w:r w:rsidR="00A9456C">
        <w:rPr>
          <w:rFonts w:ascii="Times New Roman" w:hAnsi="Times New Roman"/>
        </w:rPr>
        <w:t xml:space="preserve"> </w:t>
      </w:r>
    </w:p>
    <w:p w14:paraId="419D3BB5" w14:textId="77777777" w:rsidR="003208C2" w:rsidRPr="002208A3" w:rsidRDefault="003208C2" w:rsidP="003208C2">
      <w:pPr>
        <w:spacing w:line="480" w:lineRule="auto"/>
        <w:rPr>
          <w:rFonts w:ascii="Times New Roman" w:hAnsi="Times New Roman"/>
          <w:b/>
          <w:bCs/>
        </w:rPr>
      </w:pPr>
      <w:r w:rsidRPr="002208A3">
        <w:rPr>
          <w:rFonts w:ascii="Times New Roman" w:hAnsi="Times New Roman"/>
          <w:b/>
          <w:bCs/>
        </w:rPr>
        <w:lastRenderedPageBreak/>
        <w:t>Overview of studies:</w:t>
      </w:r>
    </w:p>
    <w:p w14:paraId="4808690B" w14:textId="6B159DFB" w:rsidR="003208C2" w:rsidRPr="002208A3" w:rsidRDefault="00841F85" w:rsidP="003208C2">
      <w:pPr>
        <w:spacing w:line="480" w:lineRule="auto"/>
        <w:ind w:firstLine="720"/>
        <w:rPr>
          <w:rFonts w:ascii="Times New Roman" w:hAnsi="Times New Roman"/>
        </w:rPr>
      </w:pPr>
      <w:r>
        <w:rPr>
          <w:rFonts w:ascii="Times New Roman" w:hAnsi="Times New Roman"/>
        </w:rPr>
        <w:t>The first study</w:t>
      </w:r>
      <w:r w:rsidR="003208C2" w:rsidRPr="002208A3">
        <w:rPr>
          <w:rFonts w:ascii="Times New Roman" w:hAnsi="Times New Roman"/>
        </w:rPr>
        <w:t xml:space="preserve"> </w:t>
      </w:r>
      <w:r w:rsidR="00AC292E">
        <w:rPr>
          <w:rFonts w:ascii="Times New Roman" w:hAnsi="Times New Roman"/>
        </w:rPr>
        <w:t xml:space="preserve">used </w:t>
      </w:r>
      <w:r w:rsidR="005B5EE3">
        <w:rPr>
          <w:rFonts w:ascii="Times New Roman" w:hAnsi="Times New Roman"/>
        </w:rPr>
        <w:t xml:space="preserve">an environmental social dilemmas scenario to </w:t>
      </w:r>
      <w:r w:rsidR="003208C2" w:rsidRPr="002208A3">
        <w:rPr>
          <w:rFonts w:ascii="Times New Roman" w:hAnsi="Times New Roman"/>
        </w:rPr>
        <w:t xml:space="preserve">investigate the effect of </w:t>
      </w:r>
      <w:r w:rsidR="00AA7128">
        <w:rPr>
          <w:rFonts w:ascii="Times New Roman" w:hAnsi="Times New Roman"/>
        </w:rPr>
        <w:t>risk</w:t>
      </w:r>
      <w:r w:rsidR="003208C2" w:rsidRPr="002208A3">
        <w:rPr>
          <w:rFonts w:ascii="Times New Roman" w:hAnsi="Times New Roman"/>
        </w:rPr>
        <w:t xml:space="preserve"> </w:t>
      </w:r>
      <w:r w:rsidR="00AA7128">
        <w:rPr>
          <w:rFonts w:ascii="Times New Roman" w:hAnsi="Times New Roman"/>
        </w:rPr>
        <w:t>on</w:t>
      </w:r>
      <w:r w:rsidR="003208C2" w:rsidRPr="002208A3">
        <w:rPr>
          <w:rFonts w:ascii="Times New Roman" w:hAnsi="Times New Roman"/>
        </w:rPr>
        <w:t xml:space="preserve"> cooperation rates in a</w:t>
      </w:r>
      <w:r w:rsidR="00AA7128">
        <w:rPr>
          <w:rFonts w:ascii="Times New Roman" w:hAnsi="Times New Roman"/>
        </w:rPr>
        <w:t xml:space="preserve"> loss-framed,</w:t>
      </w:r>
      <w:r w:rsidR="003208C2" w:rsidRPr="002208A3">
        <w:rPr>
          <w:rFonts w:ascii="Times New Roman" w:hAnsi="Times New Roman"/>
        </w:rPr>
        <w:t xml:space="preserve"> stochastic prisoner</w:t>
      </w:r>
      <w:r w:rsidR="00974F97">
        <w:rPr>
          <w:rFonts w:ascii="Times New Roman" w:hAnsi="Times New Roman"/>
        </w:rPr>
        <w:t>'</w:t>
      </w:r>
      <w:r w:rsidR="003208C2" w:rsidRPr="002208A3">
        <w:rPr>
          <w:rFonts w:ascii="Times New Roman" w:hAnsi="Times New Roman"/>
        </w:rPr>
        <w:t>s dilemma compared to the deterministic version of the game</w:t>
      </w:r>
      <w:r w:rsidR="00141A5B">
        <w:rPr>
          <w:rFonts w:ascii="Times New Roman" w:hAnsi="Times New Roman"/>
        </w:rPr>
        <w:t xml:space="preserve">. </w:t>
      </w:r>
      <w:r w:rsidR="00F90F34">
        <w:rPr>
          <w:rFonts w:ascii="Times New Roman" w:hAnsi="Times New Roman"/>
        </w:rPr>
        <w:t xml:space="preserve">In the stochastic game, the probabilities were low and potential losses were high, simulating real-world catastrophes, and similar to previous work on </w:t>
      </w:r>
      <w:r w:rsidR="00324031">
        <w:rPr>
          <w:rFonts w:ascii="Times New Roman" w:hAnsi="Times New Roman"/>
        </w:rPr>
        <w:t>i</w:t>
      </w:r>
      <w:r w:rsidR="00F90F34">
        <w:rPr>
          <w:rFonts w:ascii="Times New Roman" w:hAnsi="Times New Roman"/>
        </w:rPr>
        <w:t xml:space="preserve">nterdependent </w:t>
      </w:r>
      <w:r w:rsidR="00324031">
        <w:rPr>
          <w:rFonts w:ascii="Times New Roman" w:hAnsi="Times New Roman"/>
        </w:rPr>
        <w:t>s</w:t>
      </w:r>
      <w:r w:rsidR="00F90F34">
        <w:rPr>
          <w:rFonts w:ascii="Times New Roman" w:hAnsi="Times New Roman"/>
        </w:rPr>
        <w:t>ecurity (</w:t>
      </w:r>
      <w:r w:rsidR="00395EDB" w:rsidRPr="00395EDB">
        <w:rPr>
          <w:rFonts w:ascii="Times New Roman" w:hAnsi="Times New Roman"/>
        </w:rPr>
        <w:t xml:space="preserve">Gong et al., 2009; </w:t>
      </w:r>
      <w:proofErr w:type="spellStart"/>
      <w:r w:rsidR="00395EDB" w:rsidRPr="00395EDB">
        <w:rPr>
          <w:rFonts w:ascii="Times New Roman" w:hAnsi="Times New Roman"/>
        </w:rPr>
        <w:t>Kunreuther</w:t>
      </w:r>
      <w:proofErr w:type="spellEnd"/>
      <w:r w:rsidR="00395EDB" w:rsidRPr="00395EDB">
        <w:rPr>
          <w:rFonts w:ascii="Times New Roman" w:hAnsi="Times New Roman"/>
        </w:rPr>
        <w:t xml:space="preserve"> et al., 2009</w:t>
      </w:r>
      <w:r w:rsidR="00F90F34">
        <w:rPr>
          <w:rFonts w:ascii="Times New Roman" w:hAnsi="Times New Roman"/>
        </w:rPr>
        <w:t xml:space="preserve">). This study </w:t>
      </w:r>
      <w:r w:rsidR="005B5EE3">
        <w:rPr>
          <w:rFonts w:ascii="Times New Roman" w:hAnsi="Times New Roman"/>
        </w:rPr>
        <w:t>also</w:t>
      </w:r>
      <w:r w:rsidR="003208C2" w:rsidRPr="002208A3">
        <w:rPr>
          <w:rFonts w:ascii="Times New Roman" w:hAnsi="Times New Roman"/>
        </w:rPr>
        <w:t xml:space="preserve"> </w:t>
      </w:r>
      <w:r w:rsidR="00F971BB" w:rsidRPr="002208A3">
        <w:rPr>
          <w:rFonts w:ascii="Times New Roman" w:hAnsi="Times New Roman"/>
        </w:rPr>
        <w:t>test</w:t>
      </w:r>
      <w:r w:rsidR="00F971BB">
        <w:rPr>
          <w:rFonts w:ascii="Times New Roman" w:hAnsi="Times New Roman"/>
        </w:rPr>
        <w:t>ed</w:t>
      </w:r>
      <w:r w:rsidR="00F971BB" w:rsidRPr="002208A3">
        <w:rPr>
          <w:rFonts w:ascii="Times New Roman" w:hAnsi="Times New Roman"/>
        </w:rPr>
        <w:t xml:space="preserve"> </w:t>
      </w:r>
      <w:r w:rsidR="00FB3A5A">
        <w:rPr>
          <w:rFonts w:ascii="Times New Roman" w:hAnsi="Times New Roman"/>
        </w:rPr>
        <w:t xml:space="preserve">whether </w:t>
      </w:r>
      <w:r w:rsidR="003208C2" w:rsidRPr="002208A3">
        <w:rPr>
          <w:rFonts w:ascii="Times New Roman" w:hAnsi="Times New Roman"/>
        </w:rPr>
        <w:t xml:space="preserve">precommitment </w:t>
      </w:r>
      <w:r w:rsidR="005B5EE3">
        <w:rPr>
          <w:rFonts w:ascii="Times New Roman" w:hAnsi="Times New Roman"/>
        </w:rPr>
        <w:t xml:space="preserve">by participants </w:t>
      </w:r>
      <w:r w:rsidR="00FB3A5A">
        <w:rPr>
          <w:rFonts w:ascii="Times New Roman" w:hAnsi="Times New Roman"/>
        </w:rPr>
        <w:t>buffers against th</w:t>
      </w:r>
      <w:r w:rsidR="00AA7128">
        <w:rPr>
          <w:rFonts w:ascii="Times New Roman" w:hAnsi="Times New Roman"/>
        </w:rPr>
        <w:t xml:space="preserve">e </w:t>
      </w:r>
      <w:r w:rsidR="00844351">
        <w:rPr>
          <w:rFonts w:ascii="Times New Roman" w:hAnsi="Times New Roman"/>
        </w:rPr>
        <w:t xml:space="preserve">negative </w:t>
      </w:r>
      <w:r w:rsidR="00AA7128">
        <w:rPr>
          <w:rFonts w:ascii="Times New Roman" w:hAnsi="Times New Roman"/>
        </w:rPr>
        <w:t>effects of risk</w:t>
      </w:r>
      <w:r w:rsidR="005B5EE3">
        <w:rPr>
          <w:rFonts w:ascii="Times New Roman" w:hAnsi="Times New Roman"/>
        </w:rPr>
        <w:t>.</w:t>
      </w:r>
      <w:r w:rsidR="003208C2" w:rsidRPr="002208A3">
        <w:rPr>
          <w:rFonts w:ascii="Times New Roman" w:hAnsi="Times New Roman"/>
        </w:rPr>
        <w:t xml:space="preserve"> </w:t>
      </w:r>
      <w:r w:rsidR="00F971BB">
        <w:rPr>
          <w:rFonts w:ascii="Times New Roman" w:hAnsi="Times New Roman"/>
        </w:rPr>
        <w:t xml:space="preserve">More formally, </w:t>
      </w:r>
      <w:r w:rsidR="00AA7128">
        <w:rPr>
          <w:rFonts w:ascii="Times New Roman" w:hAnsi="Times New Roman"/>
        </w:rPr>
        <w:t>we</w:t>
      </w:r>
      <w:r w:rsidR="00F971BB">
        <w:rPr>
          <w:rFonts w:ascii="Times New Roman" w:hAnsi="Times New Roman"/>
        </w:rPr>
        <w:t xml:space="preserve"> tested whether</w:t>
      </w:r>
      <w:r w:rsidR="003208C2" w:rsidRPr="002208A3">
        <w:rPr>
          <w:rFonts w:ascii="Times New Roman" w:hAnsi="Times New Roman"/>
        </w:rPr>
        <w:t>:</w:t>
      </w:r>
    </w:p>
    <w:p w14:paraId="0FF323B9" w14:textId="0B73F25B" w:rsidR="00C6553A" w:rsidRDefault="00C6553A" w:rsidP="00C56771">
      <w:pPr>
        <w:spacing w:line="480" w:lineRule="auto"/>
        <w:rPr>
          <w:rFonts w:ascii="Times New Roman" w:hAnsi="Times New Roman"/>
          <w:b/>
          <w:bCs/>
        </w:rPr>
      </w:pPr>
      <w:r>
        <w:rPr>
          <w:rFonts w:ascii="Times New Roman" w:hAnsi="Times New Roman"/>
          <w:b/>
          <w:bCs/>
        </w:rPr>
        <w:t xml:space="preserve">H1a: </w:t>
      </w:r>
      <w:r w:rsidR="00AA7128">
        <w:rPr>
          <w:rFonts w:ascii="Times New Roman" w:hAnsi="Times New Roman"/>
          <w:b/>
          <w:bCs/>
        </w:rPr>
        <w:t>The presence of risk reduces i</w:t>
      </w:r>
      <w:r w:rsidR="00C56771" w:rsidRPr="002208A3">
        <w:rPr>
          <w:rFonts w:ascii="Times New Roman" w:hAnsi="Times New Roman"/>
          <w:b/>
          <w:bCs/>
        </w:rPr>
        <w:t>nvestment</w:t>
      </w:r>
      <w:r w:rsidR="00AA7128">
        <w:rPr>
          <w:rFonts w:ascii="Times New Roman" w:hAnsi="Times New Roman"/>
          <w:b/>
          <w:bCs/>
        </w:rPr>
        <w:t xml:space="preserve"> (</w:t>
      </w:r>
      <w:proofErr w:type="spellStart"/>
      <w:r w:rsidR="00AA7128">
        <w:rPr>
          <w:rFonts w:ascii="Times New Roman" w:hAnsi="Times New Roman"/>
          <w:b/>
          <w:bCs/>
        </w:rPr>
        <w:t>ie</w:t>
      </w:r>
      <w:proofErr w:type="spellEnd"/>
      <w:r w:rsidR="00AA7128">
        <w:rPr>
          <w:rFonts w:ascii="Times New Roman" w:hAnsi="Times New Roman"/>
          <w:b/>
          <w:bCs/>
        </w:rPr>
        <w:t>, cooperation)</w:t>
      </w:r>
      <w:r w:rsidR="00C56771" w:rsidRPr="002208A3">
        <w:rPr>
          <w:rFonts w:ascii="Times New Roman" w:hAnsi="Times New Roman"/>
          <w:b/>
          <w:bCs/>
        </w:rPr>
        <w:t xml:space="preserve"> rates </w:t>
      </w:r>
      <w:r w:rsidR="00AA7128">
        <w:rPr>
          <w:rFonts w:ascii="Times New Roman" w:hAnsi="Times New Roman"/>
          <w:b/>
          <w:bCs/>
        </w:rPr>
        <w:t>in a stochastic, loss-framed prisoners dilemma</w:t>
      </w:r>
      <w:r w:rsidR="000E2BFE">
        <w:rPr>
          <w:rFonts w:ascii="Times New Roman" w:hAnsi="Times New Roman"/>
          <w:b/>
          <w:bCs/>
        </w:rPr>
        <w:t xml:space="preserve"> with players playing round-by-round</w:t>
      </w:r>
      <w:r w:rsidR="00AA7128">
        <w:rPr>
          <w:rFonts w:ascii="Times New Roman" w:hAnsi="Times New Roman"/>
          <w:b/>
          <w:bCs/>
        </w:rPr>
        <w:t xml:space="preserve"> versus an equivalent, deterministic prisoners dilemma</w:t>
      </w:r>
    </w:p>
    <w:p w14:paraId="2A71EE26" w14:textId="7EC838D2" w:rsidR="00C6553A" w:rsidRPr="002208A3" w:rsidRDefault="00C6553A" w:rsidP="00C6553A">
      <w:pPr>
        <w:spacing w:line="480" w:lineRule="auto"/>
        <w:rPr>
          <w:rFonts w:ascii="Times New Roman" w:hAnsi="Times New Roman"/>
          <w:b/>
          <w:bCs/>
        </w:rPr>
      </w:pPr>
      <w:r>
        <w:rPr>
          <w:rFonts w:ascii="Times New Roman" w:hAnsi="Times New Roman"/>
          <w:b/>
          <w:bCs/>
        </w:rPr>
        <w:t>H1b:</w:t>
      </w:r>
      <w:r w:rsidR="00C56771">
        <w:rPr>
          <w:rFonts w:ascii="Times New Roman" w:hAnsi="Times New Roman"/>
          <w:b/>
          <w:bCs/>
        </w:rPr>
        <w:t xml:space="preserve"> Precommitment buffers against the adverse effect of </w:t>
      </w:r>
      <w:r w:rsidR="00AA7128">
        <w:rPr>
          <w:rFonts w:ascii="Times New Roman" w:hAnsi="Times New Roman"/>
          <w:b/>
          <w:bCs/>
        </w:rPr>
        <w:t>risk</w:t>
      </w:r>
      <w:r w:rsidR="00C56771">
        <w:rPr>
          <w:rFonts w:ascii="Times New Roman" w:hAnsi="Times New Roman"/>
          <w:b/>
          <w:bCs/>
        </w:rPr>
        <w:t xml:space="preserve"> in </w:t>
      </w:r>
      <w:r w:rsidR="00AA7128">
        <w:rPr>
          <w:rFonts w:ascii="Times New Roman" w:hAnsi="Times New Roman"/>
          <w:b/>
          <w:bCs/>
        </w:rPr>
        <w:t xml:space="preserve">the stochastic </w:t>
      </w:r>
      <w:proofErr w:type="gramStart"/>
      <w:r w:rsidR="00AA7128">
        <w:rPr>
          <w:rFonts w:ascii="Times New Roman" w:hAnsi="Times New Roman"/>
          <w:b/>
          <w:bCs/>
        </w:rPr>
        <w:t>prisoners</w:t>
      </w:r>
      <w:proofErr w:type="gramEnd"/>
      <w:r w:rsidR="00AA7128">
        <w:rPr>
          <w:rFonts w:ascii="Times New Roman" w:hAnsi="Times New Roman"/>
          <w:b/>
          <w:bCs/>
        </w:rPr>
        <w:t xml:space="preserve"> dilemma,</w:t>
      </w:r>
      <w:r w:rsidR="00C56771">
        <w:rPr>
          <w:rFonts w:ascii="Times New Roman" w:hAnsi="Times New Roman"/>
          <w:b/>
          <w:bCs/>
        </w:rPr>
        <w:t xml:space="preserve"> such that players </w:t>
      </w:r>
      <w:r w:rsidR="00AA7128">
        <w:rPr>
          <w:rFonts w:ascii="Times New Roman" w:hAnsi="Times New Roman"/>
          <w:b/>
          <w:bCs/>
        </w:rPr>
        <w:t xml:space="preserve">who are required to precommit will </w:t>
      </w:r>
      <w:r w:rsidR="00C56771">
        <w:rPr>
          <w:rFonts w:ascii="Times New Roman" w:hAnsi="Times New Roman"/>
          <w:b/>
          <w:bCs/>
        </w:rPr>
        <w:t xml:space="preserve">invest more </w:t>
      </w:r>
      <w:r w:rsidR="00AA7128">
        <w:rPr>
          <w:rFonts w:ascii="Times New Roman" w:hAnsi="Times New Roman"/>
          <w:b/>
          <w:bCs/>
        </w:rPr>
        <w:t xml:space="preserve">frequently </w:t>
      </w:r>
      <w:r w:rsidR="00C56771">
        <w:rPr>
          <w:rFonts w:ascii="Times New Roman" w:hAnsi="Times New Roman"/>
          <w:b/>
          <w:bCs/>
        </w:rPr>
        <w:t xml:space="preserve">than </w:t>
      </w:r>
      <w:r w:rsidR="00AA7128">
        <w:rPr>
          <w:rFonts w:ascii="Times New Roman" w:hAnsi="Times New Roman"/>
          <w:b/>
          <w:bCs/>
        </w:rPr>
        <w:t>players who play round-by-round</w:t>
      </w:r>
      <w:r w:rsidR="00C56771">
        <w:rPr>
          <w:rFonts w:ascii="Times New Roman" w:hAnsi="Times New Roman"/>
          <w:b/>
          <w:bCs/>
        </w:rPr>
        <w:t xml:space="preserve">. </w:t>
      </w:r>
    </w:p>
    <w:p w14:paraId="30F4FB94" w14:textId="65FF3DAB" w:rsidR="00F971BB" w:rsidRDefault="00DA15AA" w:rsidP="003E1DB5">
      <w:pPr>
        <w:spacing w:line="480" w:lineRule="auto"/>
        <w:ind w:firstLine="720"/>
        <w:rPr>
          <w:rFonts w:ascii="Times New Roman" w:hAnsi="Times New Roman"/>
        </w:rPr>
      </w:pPr>
      <w:r>
        <w:rPr>
          <w:rFonts w:ascii="Times New Roman" w:hAnsi="Times New Roman"/>
        </w:rPr>
        <w:t xml:space="preserve">Appendix </w:t>
      </w:r>
      <w:r w:rsidR="00F971BB">
        <w:rPr>
          <w:rFonts w:ascii="Times New Roman" w:hAnsi="Times New Roman"/>
        </w:rPr>
        <w:t xml:space="preserve">Study </w:t>
      </w:r>
      <w:r w:rsidR="00591547">
        <w:rPr>
          <w:rFonts w:ascii="Times New Roman" w:hAnsi="Times New Roman"/>
        </w:rPr>
        <w:t>A</w:t>
      </w:r>
      <w:r w:rsidR="00591547" w:rsidRPr="002208A3">
        <w:rPr>
          <w:rFonts w:ascii="Times New Roman" w:hAnsi="Times New Roman"/>
        </w:rPr>
        <w:t xml:space="preserve"> </w:t>
      </w:r>
      <w:r w:rsidR="00841F85">
        <w:rPr>
          <w:rFonts w:ascii="Times New Roman" w:hAnsi="Times New Roman"/>
        </w:rPr>
        <w:t xml:space="preserve">tested </w:t>
      </w:r>
      <w:r w:rsidR="003208C2" w:rsidRPr="002208A3">
        <w:rPr>
          <w:rFonts w:ascii="Times New Roman" w:hAnsi="Times New Roman"/>
        </w:rPr>
        <w:t xml:space="preserve">the </w:t>
      </w:r>
      <w:r w:rsidR="00AF1211">
        <w:rPr>
          <w:rFonts w:ascii="Times New Roman" w:hAnsi="Times New Roman"/>
        </w:rPr>
        <w:t>robustness of these</w:t>
      </w:r>
      <w:r w:rsidR="00AF1211" w:rsidRPr="002208A3">
        <w:rPr>
          <w:rFonts w:ascii="Times New Roman" w:hAnsi="Times New Roman"/>
        </w:rPr>
        <w:t xml:space="preserve"> </w:t>
      </w:r>
      <w:r w:rsidR="003208C2" w:rsidRPr="002208A3">
        <w:rPr>
          <w:rFonts w:ascii="Times New Roman" w:hAnsi="Times New Roman"/>
        </w:rPr>
        <w:t>hypothes</w:t>
      </w:r>
      <w:r w:rsidR="00841F85">
        <w:rPr>
          <w:rFonts w:ascii="Times New Roman" w:hAnsi="Times New Roman"/>
        </w:rPr>
        <w:t>e</w:t>
      </w:r>
      <w:r w:rsidR="003208C2" w:rsidRPr="002208A3">
        <w:rPr>
          <w:rFonts w:ascii="Times New Roman" w:hAnsi="Times New Roman"/>
        </w:rPr>
        <w:t>s</w:t>
      </w:r>
      <w:r w:rsidR="00AF1211">
        <w:rPr>
          <w:rFonts w:ascii="Times New Roman" w:hAnsi="Times New Roman"/>
        </w:rPr>
        <w:t xml:space="preserve"> in another context, employing</w:t>
      </w:r>
      <w:r>
        <w:rPr>
          <w:rFonts w:ascii="Times New Roman" w:hAnsi="Times New Roman"/>
        </w:rPr>
        <w:t xml:space="preserve"> a </w:t>
      </w:r>
      <w:r w:rsidR="00841F85">
        <w:rPr>
          <w:rFonts w:ascii="Times New Roman" w:hAnsi="Times New Roman"/>
        </w:rPr>
        <w:t>financial</w:t>
      </w:r>
      <w:r w:rsidR="003208C2" w:rsidRPr="002208A3">
        <w:rPr>
          <w:rFonts w:ascii="Times New Roman" w:hAnsi="Times New Roman"/>
        </w:rPr>
        <w:t xml:space="preserve"> </w:t>
      </w:r>
      <w:r w:rsidR="00215E48">
        <w:rPr>
          <w:rFonts w:ascii="Times New Roman" w:hAnsi="Times New Roman"/>
        </w:rPr>
        <w:t xml:space="preserve">SPD </w:t>
      </w:r>
      <w:r w:rsidR="005B5EE3">
        <w:rPr>
          <w:rFonts w:ascii="Times New Roman" w:hAnsi="Times New Roman"/>
        </w:rPr>
        <w:t>scenario rather than an environmental one</w:t>
      </w:r>
      <w:r w:rsidR="00215E48">
        <w:rPr>
          <w:rFonts w:ascii="Times New Roman" w:hAnsi="Times New Roman"/>
        </w:rPr>
        <w:t xml:space="preserve">, and found the same </w:t>
      </w:r>
      <w:r w:rsidR="00A41CCA">
        <w:rPr>
          <w:rFonts w:ascii="Times New Roman" w:hAnsi="Times New Roman"/>
        </w:rPr>
        <w:t xml:space="preserve">pattern of </w:t>
      </w:r>
      <w:r w:rsidR="00215E48">
        <w:rPr>
          <w:rFonts w:ascii="Times New Roman" w:hAnsi="Times New Roman"/>
        </w:rPr>
        <w:t>results</w:t>
      </w:r>
      <w:r w:rsidR="00A41CCA">
        <w:rPr>
          <w:rFonts w:ascii="Times New Roman" w:hAnsi="Times New Roman"/>
        </w:rPr>
        <w:t>, though slightly weaker</w:t>
      </w:r>
      <w:r w:rsidR="00215E48">
        <w:rPr>
          <w:rFonts w:ascii="Times New Roman" w:hAnsi="Times New Roman"/>
        </w:rPr>
        <w:t xml:space="preserve">. </w:t>
      </w:r>
    </w:p>
    <w:p w14:paraId="391FE7C9" w14:textId="4221FAF4" w:rsidR="003208C2" w:rsidRPr="002208A3" w:rsidRDefault="00F971BB" w:rsidP="003E1DB5">
      <w:pPr>
        <w:spacing w:line="480" w:lineRule="auto"/>
        <w:ind w:firstLine="720"/>
        <w:rPr>
          <w:rFonts w:ascii="Times New Roman" w:hAnsi="Times New Roman"/>
        </w:rPr>
      </w:pPr>
      <w:r>
        <w:rPr>
          <w:rFonts w:ascii="Times New Roman" w:hAnsi="Times New Roman"/>
        </w:rPr>
        <w:t>Subsequently, t</w:t>
      </w:r>
      <w:r w:rsidRPr="002208A3">
        <w:rPr>
          <w:rFonts w:ascii="Times New Roman" w:hAnsi="Times New Roman"/>
        </w:rPr>
        <w:t xml:space="preserve">o </w:t>
      </w:r>
      <w:r w:rsidR="00841F85">
        <w:rPr>
          <w:rFonts w:ascii="Times New Roman" w:hAnsi="Times New Roman"/>
        </w:rPr>
        <w:t>isolate the</w:t>
      </w:r>
      <w:r w:rsidR="003208C2" w:rsidRPr="002208A3">
        <w:rPr>
          <w:rFonts w:ascii="Times New Roman" w:hAnsi="Times New Roman"/>
        </w:rPr>
        <w:t xml:space="preserve"> effect</w:t>
      </w:r>
      <w:r w:rsidR="00215E48">
        <w:rPr>
          <w:rFonts w:ascii="Times New Roman" w:hAnsi="Times New Roman"/>
        </w:rPr>
        <w:t>s</w:t>
      </w:r>
      <w:r w:rsidR="00841F85">
        <w:rPr>
          <w:rFonts w:ascii="Times New Roman" w:hAnsi="Times New Roman"/>
        </w:rPr>
        <w:t xml:space="preserve"> of risk perceptions and preferences from the effects of counterpart</w:t>
      </w:r>
      <w:r w:rsidR="00215E48">
        <w:rPr>
          <w:rFonts w:ascii="Times New Roman" w:hAnsi="Times New Roman"/>
        </w:rPr>
        <w:t xml:space="preserve"> interaction</w:t>
      </w:r>
      <w:r w:rsidR="00720D24">
        <w:rPr>
          <w:rFonts w:ascii="Times New Roman" w:hAnsi="Times New Roman"/>
        </w:rPr>
        <w:t xml:space="preserve"> </w:t>
      </w:r>
      <w:r w:rsidR="00720D24">
        <w:rPr>
          <w:rFonts w:ascii="Times New Roman" w:hAnsi="Times New Roman"/>
        </w:rPr>
        <w:fldChar w:fldCharType="begin" w:fldLock="1"/>
      </w:r>
      <w:r w:rsidR="005B1C17">
        <w:rPr>
          <w:rFonts w:ascii="Times New Roman" w:hAnsi="Times New Roman"/>
        </w:rPr>
        <w:instrText>ADDIN CSL_CITATION {"citationItems":[{"id":"ITEM-1","itemData":{"ISSN":"0899-8256","author":[{"dropping-particle":"","family":"Faillo","given":"Marco","non-dropping-particle":"","parse-names":false,"suffix":""},{"dropping-particle":"","family":"Grieco","given":"Daniela","non-dropping-particle":"","parse-names":false,"suffix":""},{"dropping-particle":"","family":"Zarri","given":"Luca","non-dropping-particle":"","parse-names":false,"suffix":""}],"container-title":"Games and Economic Behavior","id":"ITEM-1","issue":"1","issued":{"date-parts":[["2013"]]},"page":"271-283","publisher":"Elsevier","title":"Legitimate punishment, feedback, and the enforcement of cooperation","type":"article-journal","volume":"77"},"uris":["http://www.mendeley.com/documents/?uuid=eff13ee9-4582-470a-bb90-3dd89813d9c4"]}],"mendeley":{"formattedCitation":"(Faillo et al., 2013)","plainTextFormattedCitation":"(Faillo et al., 2013)","previouslyFormattedCitation":"(Faillo et al. 2013)"},"properties":{"noteIndex":0},"schema":"https://github.com/citation-style-language/schema/raw/master/csl-citation.json"}</w:instrText>
      </w:r>
      <w:r w:rsidR="00720D24">
        <w:rPr>
          <w:rFonts w:ascii="Times New Roman" w:hAnsi="Times New Roman"/>
        </w:rPr>
        <w:fldChar w:fldCharType="separate"/>
      </w:r>
      <w:r w:rsidR="005B1C17" w:rsidRPr="005B1C17">
        <w:rPr>
          <w:rFonts w:ascii="Times New Roman" w:hAnsi="Times New Roman"/>
          <w:noProof/>
        </w:rPr>
        <w:t>(Faillo et al., 2013)</w:t>
      </w:r>
      <w:r w:rsidR="00720D24">
        <w:rPr>
          <w:rFonts w:ascii="Times New Roman" w:hAnsi="Times New Roman"/>
        </w:rPr>
        <w:fldChar w:fldCharType="end"/>
      </w:r>
      <w:r w:rsidR="008765EF" w:rsidRPr="002208A3">
        <w:rPr>
          <w:rFonts w:ascii="Times New Roman" w:hAnsi="Times New Roman"/>
        </w:rPr>
        <w:t xml:space="preserve">, </w:t>
      </w:r>
      <w:r w:rsidR="003208C2" w:rsidRPr="002208A3">
        <w:rPr>
          <w:rFonts w:ascii="Times New Roman" w:hAnsi="Times New Roman"/>
        </w:rPr>
        <w:t xml:space="preserve">we designed </w:t>
      </w:r>
      <w:r w:rsidR="00841F85">
        <w:rPr>
          <w:rFonts w:ascii="Times New Roman" w:hAnsi="Times New Roman"/>
        </w:rPr>
        <w:t>S</w:t>
      </w:r>
      <w:r w:rsidR="003208C2" w:rsidRPr="002208A3">
        <w:rPr>
          <w:rFonts w:ascii="Times New Roman" w:hAnsi="Times New Roman"/>
        </w:rPr>
        <w:t>tudy</w:t>
      </w:r>
      <w:r w:rsidR="00841F85">
        <w:rPr>
          <w:rFonts w:ascii="Times New Roman" w:hAnsi="Times New Roman"/>
        </w:rPr>
        <w:t xml:space="preserve"> </w:t>
      </w:r>
      <w:r w:rsidR="00591547">
        <w:rPr>
          <w:rFonts w:ascii="Times New Roman" w:hAnsi="Times New Roman"/>
        </w:rPr>
        <w:t>2</w:t>
      </w:r>
      <w:r w:rsidR="003208C2" w:rsidRPr="002208A3">
        <w:rPr>
          <w:rFonts w:ascii="Times New Roman" w:hAnsi="Times New Roman"/>
        </w:rPr>
        <w:t xml:space="preserve">, where the participants take part in a </w:t>
      </w:r>
      <w:r w:rsidR="00844351">
        <w:rPr>
          <w:rFonts w:ascii="Times New Roman" w:hAnsi="Times New Roman"/>
        </w:rPr>
        <w:t>“</w:t>
      </w:r>
      <w:r w:rsidR="003208C2" w:rsidRPr="002208A3">
        <w:rPr>
          <w:rFonts w:ascii="Times New Roman" w:hAnsi="Times New Roman"/>
        </w:rPr>
        <w:t>solo</w:t>
      </w:r>
      <w:r w:rsidR="00844351">
        <w:rPr>
          <w:rFonts w:ascii="Times New Roman" w:hAnsi="Times New Roman"/>
        </w:rPr>
        <w:t>”</w:t>
      </w:r>
      <w:r w:rsidR="003208C2" w:rsidRPr="002208A3">
        <w:rPr>
          <w:rFonts w:ascii="Times New Roman" w:hAnsi="Times New Roman"/>
        </w:rPr>
        <w:t xml:space="preserve"> </w:t>
      </w:r>
      <w:r w:rsidR="00841F85">
        <w:rPr>
          <w:rFonts w:ascii="Times New Roman" w:hAnsi="Times New Roman"/>
        </w:rPr>
        <w:t>game</w:t>
      </w:r>
      <w:r w:rsidR="003208C2" w:rsidRPr="002208A3">
        <w:rPr>
          <w:rFonts w:ascii="Times New Roman" w:hAnsi="Times New Roman"/>
        </w:rPr>
        <w:t>, having only themselves playing in the game against the odds of the loss happening</w:t>
      </w:r>
      <w:r w:rsidR="00844351">
        <w:rPr>
          <w:rFonts w:ascii="Times New Roman" w:hAnsi="Times New Roman"/>
        </w:rPr>
        <w:t>, and otherwise employing the same payoffs and probabilities as previous studies</w:t>
      </w:r>
      <w:r w:rsidR="003208C2" w:rsidRPr="002208A3">
        <w:rPr>
          <w:rFonts w:ascii="Times New Roman" w:hAnsi="Times New Roman"/>
        </w:rPr>
        <w:t xml:space="preserve">. </w:t>
      </w:r>
      <w:r w:rsidR="00992451">
        <w:rPr>
          <w:rFonts w:ascii="Times New Roman" w:hAnsi="Times New Roman"/>
        </w:rPr>
        <w:t>We tested the hypothesis that</w:t>
      </w:r>
      <w:r w:rsidR="003208C2" w:rsidRPr="002208A3">
        <w:rPr>
          <w:rFonts w:ascii="Times New Roman" w:hAnsi="Times New Roman"/>
        </w:rPr>
        <w:t>:</w:t>
      </w:r>
    </w:p>
    <w:p w14:paraId="180BE702" w14:textId="7178BEA9" w:rsidR="003208C2" w:rsidRPr="002208A3" w:rsidRDefault="003208C2" w:rsidP="000717B7">
      <w:pPr>
        <w:spacing w:line="480" w:lineRule="auto"/>
        <w:rPr>
          <w:rFonts w:ascii="Times New Roman" w:hAnsi="Times New Roman"/>
          <w:b/>
          <w:bCs/>
        </w:rPr>
      </w:pPr>
      <w:r w:rsidRPr="002208A3">
        <w:rPr>
          <w:rFonts w:ascii="Times New Roman" w:hAnsi="Times New Roman"/>
          <w:b/>
          <w:bCs/>
        </w:rPr>
        <w:lastRenderedPageBreak/>
        <w:t xml:space="preserve">H2: </w:t>
      </w:r>
      <w:r w:rsidR="00043DD6">
        <w:rPr>
          <w:rFonts w:ascii="Times New Roman" w:hAnsi="Times New Roman"/>
          <w:b/>
          <w:bCs/>
        </w:rPr>
        <w:t>I</w:t>
      </w:r>
      <w:r w:rsidRPr="002208A3">
        <w:rPr>
          <w:rFonts w:ascii="Times New Roman" w:hAnsi="Times New Roman"/>
          <w:b/>
          <w:bCs/>
        </w:rPr>
        <w:t>nvestment rates in the stochastic</w:t>
      </w:r>
      <w:r w:rsidR="00C56771">
        <w:rPr>
          <w:rFonts w:ascii="Times New Roman" w:hAnsi="Times New Roman"/>
          <w:b/>
          <w:bCs/>
        </w:rPr>
        <w:t xml:space="preserve"> solo</w:t>
      </w:r>
      <w:r w:rsidR="000717B7">
        <w:rPr>
          <w:rFonts w:ascii="Times New Roman" w:hAnsi="Times New Roman"/>
          <w:b/>
          <w:bCs/>
        </w:rPr>
        <w:t xml:space="preserve"> game</w:t>
      </w:r>
      <w:r w:rsidR="000717B7" w:rsidRPr="002208A3">
        <w:rPr>
          <w:rFonts w:ascii="Times New Roman" w:hAnsi="Times New Roman"/>
          <w:b/>
          <w:bCs/>
        </w:rPr>
        <w:t xml:space="preserve"> will be higher when the participants </w:t>
      </w:r>
      <w:r w:rsidR="00043DD6">
        <w:rPr>
          <w:rFonts w:ascii="Times New Roman" w:hAnsi="Times New Roman"/>
          <w:b/>
          <w:bCs/>
        </w:rPr>
        <w:t xml:space="preserve">are required to </w:t>
      </w:r>
      <w:r w:rsidR="000717B7" w:rsidRPr="002208A3">
        <w:rPr>
          <w:rFonts w:ascii="Times New Roman" w:hAnsi="Times New Roman"/>
          <w:b/>
          <w:bCs/>
        </w:rPr>
        <w:t>precommit their decisions.</w:t>
      </w:r>
      <w:r w:rsidRPr="002208A3">
        <w:rPr>
          <w:rFonts w:ascii="Times New Roman" w:hAnsi="Times New Roman"/>
          <w:b/>
          <w:bCs/>
        </w:rPr>
        <w:t xml:space="preserve"> </w:t>
      </w:r>
    </w:p>
    <w:p w14:paraId="1BA9FB2A" w14:textId="1CEB6091" w:rsidR="003208C2" w:rsidRPr="002208A3" w:rsidRDefault="005B6C1C" w:rsidP="00730E56">
      <w:pPr>
        <w:spacing w:line="480" w:lineRule="auto"/>
        <w:rPr>
          <w:rFonts w:ascii="Times New Roman" w:hAnsi="Times New Roman"/>
        </w:rPr>
      </w:pPr>
      <w:r>
        <w:rPr>
          <w:rFonts w:ascii="Times New Roman" w:hAnsi="Times New Roman"/>
        </w:rPr>
        <w:t xml:space="preserve">While Study </w:t>
      </w:r>
      <w:r w:rsidR="00591547">
        <w:rPr>
          <w:rFonts w:ascii="Times New Roman" w:hAnsi="Times New Roman"/>
        </w:rPr>
        <w:t xml:space="preserve">2 </w:t>
      </w:r>
      <w:r>
        <w:rPr>
          <w:rFonts w:ascii="Times New Roman" w:hAnsi="Times New Roman"/>
        </w:rPr>
        <w:t>eliminate</w:t>
      </w:r>
      <w:r w:rsidR="00043DD6">
        <w:rPr>
          <w:rFonts w:ascii="Times New Roman" w:hAnsi="Times New Roman"/>
        </w:rPr>
        <w:t>s</w:t>
      </w:r>
      <w:r>
        <w:rPr>
          <w:rFonts w:ascii="Times New Roman" w:hAnsi="Times New Roman"/>
        </w:rPr>
        <w:t xml:space="preserve"> the counterpart to isolate the effect of </w:t>
      </w:r>
      <w:r w:rsidR="00043DD6">
        <w:rPr>
          <w:rFonts w:ascii="Times New Roman" w:hAnsi="Times New Roman"/>
        </w:rPr>
        <w:t>risk</w:t>
      </w:r>
      <w:r>
        <w:rPr>
          <w:rFonts w:ascii="Times New Roman" w:hAnsi="Times New Roman"/>
        </w:rPr>
        <w:t xml:space="preserve">, </w:t>
      </w:r>
      <w:r w:rsidR="00841F85">
        <w:rPr>
          <w:rFonts w:ascii="Times New Roman" w:hAnsi="Times New Roman"/>
        </w:rPr>
        <w:t>S</w:t>
      </w:r>
      <w:r w:rsidR="003208C2" w:rsidRPr="002208A3">
        <w:rPr>
          <w:rFonts w:ascii="Times New Roman" w:hAnsi="Times New Roman"/>
        </w:rPr>
        <w:t>tudy</w:t>
      </w:r>
      <w:r w:rsidR="00841F85">
        <w:rPr>
          <w:rFonts w:ascii="Times New Roman" w:hAnsi="Times New Roman"/>
        </w:rPr>
        <w:t xml:space="preserve"> </w:t>
      </w:r>
      <w:r w:rsidR="00591547">
        <w:rPr>
          <w:rFonts w:ascii="Times New Roman" w:hAnsi="Times New Roman"/>
        </w:rPr>
        <w:t>3</w:t>
      </w:r>
      <w:r w:rsidR="00591547" w:rsidRPr="002208A3">
        <w:rPr>
          <w:rFonts w:ascii="Times New Roman" w:hAnsi="Times New Roman"/>
        </w:rPr>
        <w:t xml:space="preserve"> </w:t>
      </w:r>
      <w:r>
        <w:rPr>
          <w:rFonts w:ascii="Times New Roman" w:hAnsi="Times New Roman"/>
        </w:rPr>
        <w:t>eliminate</w:t>
      </w:r>
      <w:r w:rsidR="009A4D4C">
        <w:rPr>
          <w:rFonts w:ascii="Times New Roman" w:hAnsi="Times New Roman"/>
        </w:rPr>
        <w:t>s</w:t>
      </w:r>
      <w:r w:rsidR="003208C2" w:rsidRPr="002208A3">
        <w:rPr>
          <w:rFonts w:ascii="Times New Roman" w:hAnsi="Times New Roman"/>
        </w:rPr>
        <w:t xml:space="preserve"> the </w:t>
      </w:r>
      <w:r w:rsidR="00043DD6">
        <w:rPr>
          <w:rFonts w:ascii="Times New Roman" w:hAnsi="Times New Roman"/>
        </w:rPr>
        <w:t>risk</w:t>
      </w:r>
      <w:r w:rsidR="003208C2" w:rsidRPr="002208A3">
        <w:rPr>
          <w:rFonts w:ascii="Times New Roman" w:hAnsi="Times New Roman"/>
        </w:rPr>
        <w:t xml:space="preserve"> to investigate the effect of precommitment in a </w:t>
      </w:r>
      <w:r w:rsidR="003208C2" w:rsidRPr="009A4D4C">
        <w:rPr>
          <w:rFonts w:ascii="Times New Roman" w:hAnsi="Times New Roman"/>
          <w:i/>
          <w:iCs/>
        </w:rPr>
        <w:t>deterministic</w:t>
      </w:r>
      <w:r w:rsidR="003208C2" w:rsidRPr="002208A3">
        <w:rPr>
          <w:rFonts w:ascii="Times New Roman" w:hAnsi="Times New Roman"/>
        </w:rPr>
        <w:t xml:space="preserve"> </w:t>
      </w:r>
      <w:r w:rsidR="00974F97">
        <w:rPr>
          <w:rFonts w:ascii="Times New Roman" w:hAnsi="Times New Roman"/>
        </w:rPr>
        <w:t>prisoner's</w:t>
      </w:r>
      <w:r w:rsidR="003208C2" w:rsidRPr="002208A3">
        <w:rPr>
          <w:rFonts w:ascii="Times New Roman" w:hAnsi="Times New Roman"/>
        </w:rPr>
        <w:t xml:space="preserve"> dilemma. Since this type of design transform</w:t>
      </w:r>
      <w:r>
        <w:rPr>
          <w:rFonts w:ascii="Times New Roman" w:hAnsi="Times New Roman"/>
        </w:rPr>
        <w:t>s</w:t>
      </w:r>
      <w:r w:rsidR="003208C2" w:rsidRPr="002208A3">
        <w:rPr>
          <w:rFonts w:ascii="Times New Roman" w:hAnsi="Times New Roman"/>
        </w:rPr>
        <w:t xml:space="preserve"> the repeated game into a one-shot game </w:t>
      </w:r>
      <w:r>
        <w:rPr>
          <w:rFonts w:ascii="Times New Roman" w:hAnsi="Times New Roman"/>
        </w:rPr>
        <w:t>(with</w:t>
      </w:r>
      <w:r w:rsidR="003208C2" w:rsidRPr="002208A3">
        <w:rPr>
          <w:rFonts w:ascii="Times New Roman" w:hAnsi="Times New Roman"/>
        </w:rPr>
        <w:t xml:space="preserve"> the opportunity to defect without any consequences</w:t>
      </w:r>
      <w:r>
        <w:rPr>
          <w:rFonts w:ascii="Times New Roman" w:hAnsi="Times New Roman"/>
        </w:rPr>
        <w:t>)</w:t>
      </w:r>
      <w:r w:rsidR="003208C2" w:rsidRPr="002208A3">
        <w:rPr>
          <w:rFonts w:ascii="Times New Roman" w:hAnsi="Times New Roman"/>
        </w:rPr>
        <w:t xml:space="preserve">, we </w:t>
      </w:r>
      <w:r w:rsidR="00215E48">
        <w:rPr>
          <w:rFonts w:ascii="Times New Roman" w:hAnsi="Times New Roman"/>
        </w:rPr>
        <w:t>tested whether</w:t>
      </w:r>
      <w:r w:rsidR="003208C2" w:rsidRPr="002208A3">
        <w:rPr>
          <w:rFonts w:ascii="Times New Roman" w:hAnsi="Times New Roman"/>
        </w:rPr>
        <w:t>:</w:t>
      </w:r>
    </w:p>
    <w:p w14:paraId="63154004" w14:textId="3949551D" w:rsidR="003208C2" w:rsidRDefault="003208C2" w:rsidP="00730E56">
      <w:pPr>
        <w:spacing w:line="480" w:lineRule="auto"/>
        <w:rPr>
          <w:rFonts w:ascii="Times New Roman" w:hAnsi="Times New Roman"/>
          <w:b/>
          <w:bCs/>
        </w:rPr>
      </w:pPr>
      <w:r w:rsidRPr="002208A3">
        <w:rPr>
          <w:rFonts w:ascii="Times New Roman" w:hAnsi="Times New Roman"/>
          <w:b/>
          <w:bCs/>
        </w:rPr>
        <w:t xml:space="preserve">H3: </w:t>
      </w:r>
      <w:r w:rsidR="00215E48">
        <w:rPr>
          <w:rFonts w:ascii="Times New Roman" w:hAnsi="Times New Roman"/>
          <w:b/>
          <w:bCs/>
        </w:rPr>
        <w:t xml:space="preserve">In the deterministic </w:t>
      </w:r>
      <w:proofErr w:type="gramStart"/>
      <w:r w:rsidR="00215E48">
        <w:rPr>
          <w:rFonts w:ascii="Times New Roman" w:hAnsi="Times New Roman"/>
          <w:b/>
          <w:bCs/>
        </w:rPr>
        <w:t>prisoners</w:t>
      </w:r>
      <w:proofErr w:type="gramEnd"/>
      <w:r w:rsidR="00215E48">
        <w:rPr>
          <w:rFonts w:ascii="Times New Roman" w:hAnsi="Times New Roman"/>
          <w:b/>
          <w:bCs/>
        </w:rPr>
        <w:t xml:space="preserve"> dilemma, p</w:t>
      </w:r>
      <w:r w:rsidR="00215E48" w:rsidRPr="002208A3">
        <w:rPr>
          <w:rFonts w:ascii="Times New Roman" w:hAnsi="Times New Roman"/>
          <w:b/>
          <w:bCs/>
        </w:rPr>
        <w:t xml:space="preserve">articipants </w:t>
      </w:r>
      <w:r w:rsidRPr="002208A3">
        <w:rPr>
          <w:rFonts w:ascii="Times New Roman" w:hAnsi="Times New Roman"/>
          <w:b/>
          <w:bCs/>
        </w:rPr>
        <w:t xml:space="preserve">in the precommitment condition will </w:t>
      </w:r>
      <w:r w:rsidR="005B6C1C">
        <w:rPr>
          <w:rFonts w:ascii="Times New Roman" w:hAnsi="Times New Roman"/>
          <w:b/>
          <w:bCs/>
        </w:rPr>
        <w:t>invest less often</w:t>
      </w:r>
      <w:r w:rsidR="00215E48">
        <w:rPr>
          <w:rFonts w:ascii="Times New Roman" w:hAnsi="Times New Roman"/>
          <w:b/>
          <w:bCs/>
        </w:rPr>
        <w:t xml:space="preserve"> (as </w:t>
      </w:r>
      <w:r w:rsidRPr="002208A3">
        <w:rPr>
          <w:rFonts w:ascii="Times New Roman" w:hAnsi="Times New Roman"/>
          <w:b/>
          <w:bCs/>
        </w:rPr>
        <w:t xml:space="preserve">compared to </w:t>
      </w:r>
      <w:r w:rsidR="00A22ACF">
        <w:rPr>
          <w:rFonts w:ascii="Times New Roman" w:hAnsi="Times New Roman"/>
          <w:b/>
          <w:bCs/>
        </w:rPr>
        <w:t>participants</w:t>
      </w:r>
      <w:r w:rsidRPr="002208A3">
        <w:rPr>
          <w:rFonts w:ascii="Times New Roman" w:hAnsi="Times New Roman"/>
          <w:b/>
          <w:bCs/>
        </w:rPr>
        <w:t xml:space="preserve"> in the </w:t>
      </w:r>
      <w:r w:rsidR="00215E48">
        <w:rPr>
          <w:rFonts w:ascii="Times New Roman" w:hAnsi="Times New Roman"/>
          <w:b/>
          <w:bCs/>
        </w:rPr>
        <w:t>non-precommitment</w:t>
      </w:r>
      <w:r w:rsidR="001F41BC">
        <w:rPr>
          <w:rFonts w:ascii="Times New Roman" w:hAnsi="Times New Roman"/>
          <w:b/>
          <w:bCs/>
        </w:rPr>
        <w:t>/control</w:t>
      </w:r>
      <w:r w:rsidRPr="002208A3">
        <w:rPr>
          <w:rFonts w:ascii="Times New Roman" w:hAnsi="Times New Roman"/>
          <w:b/>
          <w:bCs/>
        </w:rPr>
        <w:t xml:space="preserve"> condition</w:t>
      </w:r>
      <w:r w:rsidR="00215E48">
        <w:rPr>
          <w:rFonts w:ascii="Times New Roman" w:hAnsi="Times New Roman"/>
          <w:b/>
          <w:bCs/>
        </w:rPr>
        <w:t>)</w:t>
      </w:r>
      <w:r w:rsidRPr="002208A3">
        <w:rPr>
          <w:rFonts w:ascii="Times New Roman" w:hAnsi="Times New Roman"/>
          <w:b/>
          <w:bCs/>
        </w:rPr>
        <w:t xml:space="preserve">. </w:t>
      </w:r>
    </w:p>
    <w:p w14:paraId="1ABA62B6" w14:textId="74DF4865" w:rsidR="00F630F1" w:rsidRDefault="00730E56" w:rsidP="003E1DB5">
      <w:pPr>
        <w:spacing w:line="480" w:lineRule="auto"/>
        <w:ind w:firstLine="720"/>
        <w:rPr>
          <w:rFonts w:ascii="Times New Roman" w:hAnsi="Times New Roman"/>
        </w:rPr>
      </w:pPr>
      <w:r>
        <w:rPr>
          <w:rFonts w:ascii="Times New Roman" w:hAnsi="Times New Roman"/>
        </w:rPr>
        <w:t xml:space="preserve">Finally, Study </w:t>
      </w:r>
      <w:r w:rsidR="00591547">
        <w:rPr>
          <w:rFonts w:ascii="Times New Roman" w:hAnsi="Times New Roman"/>
        </w:rPr>
        <w:t xml:space="preserve">4 </w:t>
      </w:r>
      <w:r>
        <w:rPr>
          <w:rFonts w:ascii="Times New Roman" w:hAnsi="Times New Roman"/>
        </w:rPr>
        <w:t xml:space="preserve">explored whether binding versus non-binding </w:t>
      </w:r>
      <w:r w:rsidR="007F2DFE">
        <w:rPr>
          <w:rFonts w:ascii="Times New Roman" w:hAnsi="Times New Roman"/>
        </w:rPr>
        <w:t>pre</w:t>
      </w:r>
      <w:r>
        <w:rPr>
          <w:rFonts w:ascii="Times New Roman" w:hAnsi="Times New Roman"/>
        </w:rPr>
        <w:t xml:space="preserve">commitment is effective for promoting cooperation </w:t>
      </w:r>
      <w:r w:rsidR="00DE491D">
        <w:rPr>
          <w:rFonts w:ascii="Times New Roman" w:hAnsi="Times New Roman"/>
        </w:rPr>
        <w:t xml:space="preserve">in stochastic </w:t>
      </w:r>
      <w:proofErr w:type="gramStart"/>
      <w:r w:rsidR="00DE491D">
        <w:rPr>
          <w:rFonts w:ascii="Times New Roman" w:hAnsi="Times New Roman"/>
        </w:rPr>
        <w:t>prisoners</w:t>
      </w:r>
      <w:proofErr w:type="gramEnd"/>
      <w:r w:rsidR="00DE491D">
        <w:rPr>
          <w:rFonts w:ascii="Times New Roman" w:hAnsi="Times New Roman"/>
        </w:rPr>
        <w:t xml:space="preserve"> dilemmas</w:t>
      </w:r>
      <w:r>
        <w:rPr>
          <w:rFonts w:ascii="Times New Roman" w:hAnsi="Times New Roman"/>
        </w:rPr>
        <w:t xml:space="preserve">. </w:t>
      </w:r>
      <w:r w:rsidR="007F2DFE">
        <w:rPr>
          <w:rFonts w:ascii="Times New Roman" w:hAnsi="Times New Roman"/>
        </w:rPr>
        <w:t>This is important from a practical perspective</w:t>
      </w:r>
      <w:r w:rsidR="003B1ED2">
        <w:rPr>
          <w:rFonts w:ascii="Times New Roman" w:hAnsi="Times New Roman"/>
        </w:rPr>
        <w:t xml:space="preserve">, </w:t>
      </w:r>
      <w:r w:rsidR="007F2DFE">
        <w:rPr>
          <w:rFonts w:ascii="Times New Roman" w:hAnsi="Times New Roman"/>
        </w:rPr>
        <w:t xml:space="preserve">as binding precommitment is not always possible, and also tests the importance of feedback and </w:t>
      </w:r>
      <w:r w:rsidR="003B1ED2">
        <w:rPr>
          <w:rFonts w:ascii="Times New Roman" w:hAnsi="Times New Roman"/>
        </w:rPr>
        <w:t xml:space="preserve">partner </w:t>
      </w:r>
      <w:r w:rsidR="007F2DFE">
        <w:rPr>
          <w:rFonts w:ascii="Times New Roman" w:hAnsi="Times New Roman"/>
        </w:rPr>
        <w:t xml:space="preserve">interaction. </w:t>
      </w:r>
      <w:r w:rsidR="00506147">
        <w:rPr>
          <w:rFonts w:ascii="Times New Roman" w:hAnsi="Times New Roman"/>
        </w:rPr>
        <w:t xml:space="preserve">In a “binding” precommitment, participants make a series of choices in advance, and those choices cannot later be changed (for example, a legal contract). In contrast, in a “non-binding” precommitment, participants make a series of choices in advance, but they can </w:t>
      </w:r>
      <w:r w:rsidR="001F41BC">
        <w:rPr>
          <w:rFonts w:ascii="Times New Roman" w:hAnsi="Times New Roman"/>
        </w:rPr>
        <w:t xml:space="preserve">later </w:t>
      </w:r>
      <w:r w:rsidR="00506147">
        <w:rPr>
          <w:rFonts w:ascii="Times New Roman" w:hAnsi="Times New Roman"/>
        </w:rPr>
        <w:t xml:space="preserve">change those choices if they desire. </w:t>
      </w:r>
      <w:r w:rsidR="00086FBB">
        <w:rPr>
          <w:rFonts w:ascii="Times New Roman" w:hAnsi="Times New Roman"/>
        </w:rPr>
        <w:t xml:space="preserve">On </w:t>
      </w:r>
      <w:r w:rsidR="00FA4BBA">
        <w:rPr>
          <w:rFonts w:ascii="Times New Roman" w:hAnsi="Times New Roman"/>
        </w:rPr>
        <w:t>one</w:t>
      </w:r>
      <w:r w:rsidR="00086FBB">
        <w:rPr>
          <w:rFonts w:ascii="Times New Roman" w:hAnsi="Times New Roman"/>
        </w:rPr>
        <w:t xml:space="preserve"> hand, non-binding </w:t>
      </w:r>
      <w:r w:rsidR="00CD768F">
        <w:rPr>
          <w:rFonts w:ascii="Times New Roman" w:hAnsi="Times New Roman"/>
        </w:rPr>
        <w:t>pre</w:t>
      </w:r>
      <w:r w:rsidR="00086FBB">
        <w:rPr>
          <w:rFonts w:ascii="Times New Roman" w:hAnsi="Times New Roman"/>
        </w:rPr>
        <w:t xml:space="preserve">commitment </w:t>
      </w:r>
      <w:r w:rsidR="008A723B">
        <w:rPr>
          <w:rFonts w:ascii="Times New Roman" w:hAnsi="Times New Roman"/>
        </w:rPr>
        <w:t>creates an</w:t>
      </w:r>
      <w:r w:rsidR="002843BD">
        <w:rPr>
          <w:rFonts w:ascii="Times New Roman" w:hAnsi="Times New Roman"/>
        </w:rPr>
        <w:t xml:space="preserve"> incentive to treat </w:t>
      </w:r>
      <w:r w:rsidR="00CD768F">
        <w:rPr>
          <w:rFonts w:ascii="Times New Roman" w:hAnsi="Times New Roman"/>
        </w:rPr>
        <w:t>one’s</w:t>
      </w:r>
      <w:r w:rsidR="002843BD">
        <w:rPr>
          <w:rFonts w:ascii="Times New Roman" w:hAnsi="Times New Roman"/>
        </w:rPr>
        <w:t xml:space="preserve"> counterpart well</w:t>
      </w:r>
      <w:r w:rsidR="00FA4BBA">
        <w:rPr>
          <w:rFonts w:ascii="Times New Roman" w:hAnsi="Times New Roman"/>
        </w:rPr>
        <w:t xml:space="preserve"> each round</w:t>
      </w:r>
      <w:r w:rsidR="002843BD">
        <w:rPr>
          <w:rFonts w:ascii="Times New Roman" w:hAnsi="Times New Roman"/>
        </w:rPr>
        <w:t xml:space="preserve"> and maintain reciprocal altruism, </w:t>
      </w:r>
      <w:r w:rsidR="00CD768F">
        <w:rPr>
          <w:rFonts w:ascii="Times New Roman" w:hAnsi="Times New Roman"/>
        </w:rPr>
        <w:t>which could lead to greater cooperation</w:t>
      </w:r>
      <w:r w:rsidR="002843BD">
        <w:rPr>
          <w:rFonts w:ascii="Times New Roman" w:hAnsi="Times New Roman"/>
        </w:rPr>
        <w:t xml:space="preserve">. </w:t>
      </w:r>
      <w:r w:rsidR="00CD768F">
        <w:rPr>
          <w:rFonts w:ascii="Times New Roman" w:hAnsi="Times New Roman"/>
        </w:rPr>
        <w:t>On the other hand, non-binding precommitment is a weaker form of pre-commitment and allows one to “back out” of previous</w:t>
      </w:r>
      <w:r w:rsidR="005A36C3">
        <w:rPr>
          <w:rFonts w:ascii="Times New Roman" w:hAnsi="Times New Roman"/>
        </w:rPr>
        <w:t>ly</w:t>
      </w:r>
      <w:r w:rsidR="00CD768F">
        <w:rPr>
          <w:rFonts w:ascii="Times New Roman" w:hAnsi="Times New Roman"/>
        </w:rPr>
        <w:t xml:space="preserve"> </w:t>
      </w:r>
      <w:r w:rsidR="005A36C3">
        <w:rPr>
          <w:rFonts w:ascii="Times New Roman" w:hAnsi="Times New Roman"/>
        </w:rPr>
        <w:t xml:space="preserve">cooperative intentions, which could lead to lower cooperation. </w:t>
      </w:r>
      <w:r w:rsidR="00B66DD8">
        <w:rPr>
          <w:rFonts w:ascii="Times New Roman" w:hAnsi="Times New Roman"/>
        </w:rPr>
        <w:t xml:space="preserve">Or, these forces could cancel out and lead to no difference between binding and non-binding precommitment. </w:t>
      </w:r>
      <w:r w:rsidR="008A6EC8">
        <w:rPr>
          <w:rFonts w:ascii="Times New Roman" w:hAnsi="Times New Roman"/>
        </w:rPr>
        <w:t xml:space="preserve">Therefore, we did not have a </w:t>
      </w:r>
      <w:r w:rsidR="008E6D51">
        <w:rPr>
          <w:rFonts w:ascii="Times New Roman" w:hAnsi="Times New Roman"/>
        </w:rPr>
        <w:t>clear hypothesis</w:t>
      </w:r>
      <w:r w:rsidR="008A6EC8">
        <w:rPr>
          <w:rFonts w:ascii="Times New Roman" w:hAnsi="Times New Roman"/>
        </w:rPr>
        <w:t xml:space="preserve"> for </w:t>
      </w:r>
      <w:r w:rsidR="007128C1">
        <w:rPr>
          <w:rFonts w:ascii="Times New Roman" w:hAnsi="Times New Roman"/>
        </w:rPr>
        <w:t xml:space="preserve">the non-binding precommitment condition in </w:t>
      </w:r>
      <w:r w:rsidR="008A6EC8">
        <w:rPr>
          <w:rFonts w:ascii="Times New Roman" w:hAnsi="Times New Roman"/>
        </w:rPr>
        <w:t xml:space="preserve">Study </w:t>
      </w:r>
      <w:r w:rsidR="00591547">
        <w:rPr>
          <w:rFonts w:ascii="Times New Roman" w:hAnsi="Times New Roman"/>
        </w:rPr>
        <w:t>4</w:t>
      </w:r>
      <w:r w:rsidR="008A6EC8">
        <w:rPr>
          <w:rFonts w:ascii="Times New Roman" w:hAnsi="Times New Roman"/>
        </w:rPr>
        <w:t xml:space="preserve">. </w:t>
      </w:r>
    </w:p>
    <w:p w14:paraId="43C31EFE" w14:textId="7D6BAB12" w:rsidR="0081732C" w:rsidRDefault="0081732C" w:rsidP="00006E5F">
      <w:pPr>
        <w:spacing w:line="480" w:lineRule="auto"/>
        <w:ind w:firstLine="720"/>
        <w:rPr>
          <w:rFonts w:ascii="Times New Roman" w:hAnsi="Times New Roman"/>
        </w:rPr>
      </w:pPr>
      <w:r>
        <w:rPr>
          <w:rFonts w:ascii="Times New Roman" w:hAnsi="Times New Roman"/>
        </w:rPr>
        <w:lastRenderedPageBreak/>
        <w:t xml:space="preserve">In summary, the present research makes the following </w:t>
      </w:r>
      <w:r w:rsidR="001B7CC0">
        <w:rPr>
          <w:rFonts w:ascii="Times New Roman" w:hAnsi="Times New Roman"/>
        </w:rPr>
        <w:t xml:space="preserve">major </w:t>
      </w:r>
      <w:r>
        <w:rPr>
          <w:rFonts w:ascii="Times New Roman" w:hAnsi="Times New Roman"/>
        </w:rPr>
        <w:t>contributions:</w:t>
      </w:r>
      <w:r w:rsidR="00DB7928">
        <w:rPr>
          <w:rFonts w:ascii="Times New Roman" w:hAnsi="Times New Roman"/>
        </w:rPr>
        <w:t xml:space="preserve"> </w:t>
      </w:r>
      <w:r>
        <w:rPr>
          <w:rFonts w:ascii="Times New Roman" w:hAnsi="Times New Roman"/>
        </w:rPr>
        <w:t xml:space="preserve">1) </w:t>
      </w:r>
      <w:r w:rsidR="005B638C">
        <w:rPr>
          <w:rFonts w:ascii="Times New Roman" w:hAnsi="Times New Roman"/>
        </w:rPr>
        <w:t xml:space="preserve">proposing and testing </w:t>
      </w:r>
      <w:r w:rsidR="00951E6B">
        <w:rPr>
          <w:rFonts w:ascii="Times New Roman" w:hAnsi="Times New Roman"/>
        </w:rPr>
        <w:t xml:space="preserve">binding </w:t>
      </w:r>
      <w:r w:rsidR="005B638C">
        <w:rPr>
          <w:rFonts w:ascii="Times New Roman" w:hAnsi="Times New Roman"/>
        </w:rPr>
        <w:t xml:space="preserve">precommitment as a novel intervention in the context of social dilemmas, 2) </w:t>
      </w:r>
      <w:r w:rsidR="00DB7928">
        <w:rPr>
          <w:rFonts w:ascii="Times New Roman" w:hAnsi="Times New Roman"/>
        </w:rPr>
        <w:t xml:space="preserve">uncovering the mechanisms driving the effectiveness of precommitment, 3) demonstrating opposite effects of precommitment in stochastic versus deterministic </w:t>
      </w:r>
      <w:proofErr w:type="gramStart"/>
      <w:r w:rsidR="00951E6B">
        <w:rPr>
          <w:rFonts w:ascii="Times New Roman" w:hAnsi="Times New Roman"/>
        </w:rPr>
        <w:t>prisoners</w:t>
      </w:r>
      <w:proofErr w:type="gramEnd"/>
      <w:r w:rsidR="00951E6B">
        <w:rPr>
          <w:rFonts w:ascii="Times New Roman" w:hAnsi="Times New Roman"/>
        </w:rPr>
        <w:t xml:space="preserve"> </w:t>
      </w:r>
      <w:r w:rsidR="00DB7928">
        <w:rPr>
          <w:rFonts w:ascii="Times New Roman" w:hAnsi="Times New Roman"/>
        </w:rPr>
        <w:t>dilemmas</w:t>
      </w:r>
      <w:r w:rsidR="001B7CC0">
        <w:rPr>
          <w:rFonts w:ascii="Times New Roman" w:hAnsi="Times New Roman"/>
        </w:rPr>
        <w:t>, and 4</w:t>
      </w:r>
      <w:r w:rsidR="00006E5F">
        <w:rPr>
          <w:rFonts w:ascii="Times New Roman" w:hAnsi="Times New Roman"/>
        </w:rPr>
        <w:t xml:space="preserve">) testing binding versus non-binding precommitment in stochastic dilemmas. </w:t>
      </w:r>
    </w:p>
    <w:p w14:paraId="52836915" w14:textId="76911EF7" w:rsidR="00A74817" w:rsidRDefault="00F630F1" w:rsidP="003E1DB5">
      <w:pPr>
        <w:spacing w:line="480" w:lineRule="auto"/>
        <w:rPr>
          <w:rFonts w:ascii="Times New Roman" w:hAnsi="Times New Roman"/>
          <w:b/>
          <w:bCs/>
        </w:rPr>
      </w:pPr>
      <w:r>
        <w:rPr>
          <w:rFonts w:ascii="Times New Roman" w:hAnsi="Times New Roman"/>
        </w:rPr>
        <w:tab/>
      </w:r>
      <w:r w:rsidR="007C49B0">
        <w:rPr>
          <w:rFonts w:ascii="Times New Roman" w:hAnsi="Times New Roman"/>
        </w:rPr>
        <w:t xml:space="preserve">Study designs </w:t>
      </w:r>
      <w:r w:rsidR="00D90674">
        <w:rPr>
          <w:rFonts w:ascii="Times New Roman" w:hAnsi="Times New Roman"/>
        </w:rPr>
        <w:t xml:space="preserve">and findings </w:t>
      </w:r>
      <w:r w:rsidR="007C49B0">
        <w:rPr>
          <w:rFonts w:ascii="Times New Roman" w:hAnsi="Times New Roman"/>
        </w:rPr>
        <w:t xml:space="preserve">are summarized in Table </w:t>
      </w:r>
      <w:r w:rsidR="00037A52">
        <w:rPr>
          <w:rFonts w:ascii="Times New Roman" w:hAnsi="Times New Roman"/>
        </w:rPr>
        <w:t>3</w:t>
      </w:r>
      <w:r w:rsidR="007C49B0">
        <w:rPr>
          <w:rFonts w:ascii="Times New Roman" w:hAnsi="Times New Roman"/>
        </w:rPr>
        <w:t xml:space="preserve">. </w:t>
      </w:r>
      <w:r w:rsidR="008A723B">
        <w:rPr>
          <w:rFonts w:ascii="Times New Roman" w:hAnsi="Times New Roman"/>
        </w:rPr>
        <w:t>All studies used incentive compatible designs</w:t>
      </w:r>
      <w:r w:rsidR="00176C39">
        <w:rPr>
          <w:rFonts w:ascii="Times New Roman" w:hAnsi="Times New Roman"/>
        </w:rPr>
        <w:t xml:space="preserve">, and </w:t>
      </w:r>
      <w:r w:rsidR="00417CAC">
        <w:rPr>
          <w:rFonts w:ascii="Times New Roman" w:hAnsi="Times New Roman"/>
        </w:rPr>
        <w:t xml:space="preserve">mainly </w:t>
      </w:r>
      <w:r w:rsidR="00176C39">
        <w:rPr>
          <w:rFonts w:ascii="Times New Roman" w:hAnsi="Times New Roman"/>
        </w:rPr>
        <w:t>between-</w:t>
      </w:r>
      <w:r w:rsidR="00D86028">
        <w:rPr>
          <w:rFonts w:ascii="Times New Roman" w:hAnsi="Times New Roman"/>
        </w:rPr>
        <w:t xml:space="preserve">subject </w:t>
      </w:r>
      <w:r w:rsidR="00176C39">
        <w:rPr>
          <w:rFonts w:ascii="Times New Roman" w:hAnsi="Times New Roman"/>
        </w:rPr>
        <w:t>designs</w:t>
      </w:r>
      <w:r w:rsidR="008A723B">
        <w:rPr>
          <w:rFonts w:ascii="Times New Roman" w:hAnsi="Times New Roman"/>
        </w:rPr>
        <w:t xml:space="preserve">. </w:t>
      </w:r>
      <w:r w:rsidR="00912F7C">
        <w:rPr>
          <w:rFonts w:ascii="Times New Roman" w:hAnsi="Times New Roman"/>
        </w:rPr>
        <w:t>Studies 1-</w:t>
      </w:r>
      <w:r w:rsidR="00591547">
        <w:rPr>
          <w:rFonts w:ascii="Times New Roman" w:hAnsi="Times New Roman"/>
        </w:rPr>
        <w:t>3</w:t>
      </w:r>
      <w:r w:rsidR="009D7C69">
        <w:rPr>
          <w:rFonts w:ascii="Times New Roman" w:hAnsi="Times New Roman"/>
        </w:rPr>
        <w:t xml:space="preserve"> (and Appendix Study A)</w:t>
      </w:r>
      <w:r w:rsidR="00591547">
        <w:rPr>
          <w:rFonts w:ascii="Times New Roman" w:hAnsi="Times New Roman"/>
        </w:rPr>
        <w:t xml:space="preserve"> </w:t>
      </w:r>
      <w:r w:rsidR="00912F7C">
        <w:rPr>
          <w:rFonts w:ascii="Times New Roman" w:hAnsi="Times New Roman"/>
        </w:rPr>
        <w:t>were run in 2009, using sample sizes of 30 participants</w:t>
      </w:r>
      <w:r w:rsidR="00B508C0">
        <w:rPr>
          <w:rFonts w:ascii="Times New Roman" w:hAnsi="Times New Roman"/>
        </w:rPr>
        <w:t xml:space="preserve"> per condition and 80 observations per participant</w:t>
      </w:r>
      <w:r w:rsidR="00912F7C">
        <w:rPr>
          <w:rFonts w:ascii="Times New Roman" w:hAnsi="Times New Roman"/>
        </w:rPr>
        <w:t xml:space="preserve">, while Study </w:t>
      </w:r>
      <w:r w:rsidR="00591547">
        <w:rPr>
          <w:rFonts w:ascii="Times New Roman" w:hAnsi="Times New Roman"/>
        </w:rPr>
        <w:t xml:space="preserve">4 </w:t>
      </w:r>
      <w:r w:rsidR="00912F7C">
        <w:rPr>
          <w:rFonts w:ascii="Times New Roman" w:hAnsi="Times New Roman"/>
        </w:rPr>
        <w:t xml:space="preserve">was run in </w:t>
      </w:r>
      <w:r w:rsidR="006F7B28">
        <w:rPr>
          <w:rFonts w:ascii="Times New Roman" w:hAnsi="Times New Roman"/>
        </w:rPr>
        <w:t xml:space="preserve">early </w:t>
      </w:r>
      <w:r w:rsidR="00912F7C">
        <w:rPr>
          <w:rFonts w:ascii="Times New Roman" w:hAnsi="Times New Roman"/>
        </w:rPr>
        <w:t>2020</w:t>
      </w:r>
      <w:r w:rsidR="006F7B28">
        <w:rPr>
          <w:rFonts w:ascii="Times New Roman" w:hAnsi="Times New Roman"/>
        </w:rPr>
        <w:t xml:space="preserve"> (pre-COVID)</w:t>
      </w:r>
      <w:r w:rsidR="00912F7C">
        <w:rPr>
          <w:rFonts w:ascii="Times New Roman" w:hAnsi="Times New Roman"/>
        </w:rPr>
        <w:t xml:space="preserve"> with over 50 participants </w:t>
      </w:r>
      <w:r w:rsidR="001E3C83">
        <w:rPr>
          <w:rFonts w:ascii="Times New Roman" w:hAnsi="Times New Roman"/>
        </w:rPr>
        <w:t>per</w:t>
      </w:r>
      <w:r w:rsidR="00912F7C">
        <w:rPr>
          <w:rFonts w:ascii="Times New Roman" w:hAnsi="Times New Roman"/>
        </w:rPr>
        <w:t xml:space="preserve"> </w:t>
      </w:r>
      <w:r w:rsidR="00B508C0">
        <w:rPr>
          <w:rFonts w:ascii="Times New Roman" w:hAnsi="Times New Roman"/>
        </w:rPr>
        <w:t>condition and 60 observations per participant</w:t>
      </w:r>
      <w:r w:rsidR="00912F7C">
        <w:rPr>
          <w:rFonts w:ascii="Times New Roman" w:hAnsi="Times New Roman"/>
        </w:rPr>
        <w:t xml:space="preserve">. </w:t>
      </w:r>
      <w:r w:rsidR="008A6E6E">
        <w:rPr>
          <w:rFonts w:ascii="Times New Roman" w:hAnsi="Times New Roman"/>
        </w:rPr>
        <w:t>All study materials</w:t>
      </w:r>
      <w:r w:rsidR="003E4BC6">
        <w:rPr>
          <w:rFonts w:ascii="Times New Roman" w:hAnsi="Times New Roman"/>
        </w:rPr>
        <w:t xml:space="preserve">, </w:t>
      </w:r>
      <w:r w:rsidR="008A6E6E">
        <w:rPr>
          <w:rFonts w:ascii="Times New Roman" w:hAnsi="Times New Roman"/>
        </w:rPr>
        <w:t>data</w:t>
      </w:r>
      <w:r w:rsidR="003E4BC6">
        <w:rPr>
          <w:rFonts w:ascii="Times New Roman" w:hAnsi="Times New Roman"/>
        </w:rPr>
        <w:t>, and analysis code</w:t>
      </w:r>
      <w:r w:rsidR="008A6E6E">
        <w:rPr>
          <w:rFonts w:ascii="Times New Roman" w:hAnsi="Times New Roman"/>
        </w:rPr>
        <w:t xml:space="preserve"> are available at </w:t>
      </w:r>
      <w:hyperlink r:id="rId9" w:history="1">
        <w:r w:rsidR="008A6E6E" w:rsidRPr="00A6603C">
          <w:rPr>
            <w:rStyle w:val="Hyperlink"/>
            <w:rFonts w:ascii="Times New Roman" w:hAnsi="Times New Roman"/>
          </w:rPr>
          <w:t>https://osf.io/jfmte/?view_only=825938bb4c7547b195da865986ab919f</w:t>
        </w:r>
      </w:hyperlink>
      <w:r w:rsidR="008A6E6E">
        <w:rPr>
          <w:rFonts w:ascii="Times New Roman" w:hAnsi="Times New Roman"/>
        </w:rPr>
        <w:t xml:space="preserve">. </w:t>
      </w:r>
    </w:p>
    <w:p w14:paraId="5DC8FAAF" w14:textId="208F5E2C" w:rsidR="00A74817" w:rsidRPr="00AA1C00" w:rsidRDefault="00A74817" w:rsidP="003208C2">
      <w:pPr>
        <w:spacing w:line="480" w:lineRule="auto"/>
        <w:rPr>
          <w:rFonts w:ascii="Times New Roman" w:hAnsi="Times New Roman"/>
          <w:bCs/>
          <w:i/>
        </w:rPr>
      </w:pPr>
      <w:r w:rsidRPr="00AA1C00">
        <w:rPr>
          <w:rFonts w:ascii="Times New Roman" w:hAnsi="Times New Roman"/>
          <w:bCs/>
          <w:i/>
        </w:rPr>
        <w:t xml:space="preserve">Table </w:t>
      </w:r>
      <w:r w:rsidR="009132EC">
        <w:rPr>
          <w:rFonts w:ascii="Times New Roman" w:hAnsi="Times New Roman"/>
          <w:bCs/>
          <w:i/>
        </w:rPr>
        <w:t>3</w:t>
      </w:r>
      <w:r w:rsidR="00AA1C00" w:rsidRPr="00AA1C00">
        <w:rPr>
          <w:rFonts w:ascii="Times New Roman" w:hAnsi="Times New Roman"/>
          <w:bCs/>
          <w:i/>
        </w:rPr>
        <w:t>:</w:t>
      </w:r>
      <w:r w:rsidRPr="00AA1C00">
        <w:rPr>
          <w:rFonts w:ascii="Times New Roman" w:hAnsi="Times New Roman"/>
          <w:bCs/>
          <w:i/>
        </w:rPr>
        <w:t xml:space="preserve"> Summary of hypotheses, manipulations, and game types in Studies 1-</w:t>
      </w:r>
      <w:r w:rsidR="00D07E67">
        <w:rPr>
          <w:rFonts w:ascii="Times New Roman" w:hAnsi="Times New Roman"/>
          <w:bCs/>
          <w:i/>
        </w:rPr>
        <w:t>4</w:t>
      </w:r>
      <w:r w:rsidRPr="00AA1C00">
        <w:rPr>
          <w:rFonts w:ascii="Times New Roman" w:hAnsi="Times New Roman"/>
          <w:bCs/>
          <w:i/>
        </w:rPr>
        <w:t xml:space="preserve">. </w:t>
      </w:r>
    </w:p>
    <w:tbl>
      <w:tblPr>
        <w:tblStyle w:val="TableGrid"/>
        <w:tblW w:w="9349" w:type="dxa"/>
        <w:tblLayout w:type="fixed"/>
        <w:tblLook w:val="04A0" w:firstRow="1" w:lastRow="0" w:firstColumn="1" w:lastColumn="0" w:noHBand="0" w:noVBand="1"/>
      </w:tblPr>
      <w:tblGrid>
        <w:gridCol w:w="846"/>
        <w:gridCol w:w="1276"/>
        <w:gridCol w:w="1842"/>
        <w:gridCol w:w="1842"/>
        <w:gridCol w:w="1842"/>
        <w:gridCol w:w="1701"/>
      </w:tblGrid>
      <w:tr w:rsidR="0025035C" w:rsidRPr="00396E3B" w14:paraId="1C39FD71" w14:textId="5BA28474" w:rsidTr="00511D2D">
        <w:tc>
          <w:tcPr>
            <w:tcW w:w="846" w:type="dxa"/>
          </w:tcPr>
          <w:p w14:paraId="020F8A4A" w14:textId="1E54D811" w:rsidR="0025035C" w:rsidRDefault="0025035C" w:rsidP="0025035C">
            <w:pPr>
              <w:jc w:val="center"/>
              <w:rPr>
                <w:rFonts w:ascii="Times New Roman" w:hAnsi="Times New Roman"/>
                <w:b/>
                <w:bCs/>
                <w:sz w:val="20"/>
              </w:rPr>
            </w:pPr>
          </w:p>
          <w:p w14:paraId="37F1C165" w14:textId="29775831" w:rsidR="0025035C" w:rsidRPr="00440A0A" w:rsidRDefault="0025035C" w:rsidP="0025035C">
            <w:pPr>
              <w:jc w:val="center"/>
              <w:rPr>
                <w:rFonts w:ascii="Times New Roman" w:hAnsi="Times New Roman"/>
                <w:b/>
                <w:bCs/>
                <w:sz w:val="20"/>
              </w:rPr>
            </w:pPr>
            <w:r w:rsidRPr="00440A0A">
              <w:rPr>
                <w:rFonts w:ascii="Times New Roman" w:hAnsi="Times New Roman"/>
                <w:b/>
                <w:bCs/>
                <w:sz w:val="20"/>
              </w:rPr>
              <w:t>Study</w:t>
            </w:r>
          </w:p>
        </w:tc>
        <w:tc>
          <w:tcPr>
            <w:tcW w:w="1276" w:type="dxa"/>
            <w:vAlign w:val="center"/>
          </w:tcPr>
          <w:p w14:paraId="0957BB94" w14:textId="77777777" w:rsidR="0025035C" w:rsidRDefault="0025035C" w:rsidP="0025035C">
            <w:pPr>
              <w:jc w:val="center"/>
              <w:rPr>
                <w:rFonts w:ascii="Times New Roman" w:hAnsi="Times New Roman"/>
                <w:b/>
                <w:bCs/>
                <w:sz w:val="20"/>
              </w:rPr>
            </w:pPr>
            <w:r w:rsidRPr="00A74817">
              <w:rPr>
                <w:rFonts w:ascii="Times New Roman" w:hAnsi="Times New Roman"/>
                <w:b/>
                <w:bCs/>
                <w:sz w:val="20"/>
              </w:rPr>
              <w:t>Hypothesis</w:t>
            </w:r>
          </w:p>
          <w:p w14:paraId="4249CD86" w14:textId="626224E4" w:rsidR="0025035C" w:rsidRPr="00A74817" w:rsidRDefault="0025035C" w:rsidP="0025035C">
            <w:pPr>
              <w:jc w:val="center"/>
              <w:rPr>
                <w:rFonts w:ascii="Times New Roman" w:hAnsi="Times New Roman"/>
                <w:b/>
                <w:bCs/>
                <w:sz w:val="20"/>
              </w:rPr>
            </w:pPr>
            <w:r>
              <w:rPr>
                <w:rFonts w:ascii="Times New Roman" w:hAnsi="Times New Roman"/>
                <w:b/>
                <w:bCs/>
                <w:sz w:val="20"/>
              </w:rPr>
              <w:t>Tested</w:t>
            </w:r>
          </w:p>
        </w:tc>
        <w:tc>
          <w:tcPr>
            <w:tcW w:w="1842" w:type="dxa"/>
            <w:vAlign w:val="center"/>
          </w:tcPr>
          <w:p w14:paraId="11EA27A9" w14:textId="21BBFF26" w:rsidR="0025035C" w:rsidRPr="00A74817" w:rsidRDefault="0025035C" w:rsidP="0025035C">
            <w:pPr>
              <w:jc w:val="center"/>
              <w:rPr>
                <w:rFonts w:ascii="Times New Roman" w:hAnsi="Times New Roman"/>
                <w:b/>
                <w:bCs/>
                <w:sz w:val="20"/>
              </w:rPr>
            </w:pPr>
            <w:r w:rsidRPr="00A74817">
              <w:rPr>
                <w:rFonts w:ascii="Times New Roman" w:hAnsi="Times New Roman"/>
                <w:b/>
                <w:bCs/>
                <w:sz w:val="20"/>
              </w:rPr>
              <w:t xml:space="preserve">Type of </w:t>
            </w:r>
            <w:r w:rsidR="009529B9">
              <w:rPr>
                <w:rFonts w:ascii="Times New Roman" w:hAnsi="Times New Roman"/>
                <w:b/>
                <w:bCs/>
                <w:sz w:val="20"/>
              </w:rPr>
              <w:t>G</w:t>
            </w:r>
            <w:r w:rsidRPr="00A74817">
              <w:rPr>
                <w:rFonts w:ascii="Times New Roman" w:hAnsi="Times New Roman"/>
                <w:b/>
                <w:bCs/>
                <w:sz w:val="20"/>
              </w:rPr>
              <w:t>ames</w:t>
            </w:r>
          </w:p>
        </w:tc>
        <w:tc>
          <w:tcPr>
            <w:tcW w:w="1842" w:type="dxa"/>
            <w:vAlign w:val="center"/>
          </w:tcPr>
          <w:p w14:paraId="28CC01D1" w14:textId="77777777" w:rsidR="009529B9" w:rsidRDefault="009529B9" w:rsidP="0025035C">
            <w:pPr>
              <w:jc w:val="center"/>
              <w:rPr>
                <w:rFonts w:ascii="Times New Roman" w:hAnsi="Times New Roman"/>
                <w:b/>
                <w:bCs/>
                <w:sz w:val="20"/>
              </w:rPr>
            </w:pPr>
          </w:p>
          <w:p w14:paraId="7E57151A" w14:textId="7BEC06C1" w:rsidR="0025035C" w:rsidRPr="00A74817" w:rsidRDefault="0025035C" w:rsidP="0025035C">
            <w:pPr>
              <w:jc w:val="center"/>
              <w:rPr>
                <w:rFonts w:ascii="Times New Roman" w:hAnsi="Times New Roman"/>
                <w:b/>
                <w:bCs/>
                <w:sz w:val="20"/>
              </w:rPr>
            </w:pPr>
            <w:r>
              <w:rPr>
                <w:rFonts w:ascii="Times New Roman" w:hAnsi="Times New Roman"/>
                <w:b/>
                <w:bCs/>
                <w:sz w:val="20"/>
              </w:rPr>
              <w:t>Game</w:t>
            </w:r>
            <w:r w:rsidRPr="00A74817">
              <w:rPr>
                <w:rFonts w:ascii="Times New Roman" w:hAnsi="Times New Roman"/>
                <w:b/>
                <w:bCs/>
                <w:sz w:val="20"/>
              </w:rPr>
              <w:t xml:space="preserve"> </w:t>
            </w:r>
            <w:r w:rsidR="009529B9">
              <w:rPr>
                <w:rFonts w:ascii="Times New Roman" w:hAnsi="Times New Roman"/>
                <w:b/>
                <w:bCs/>
                <w:sz w:val="20"/>
              </w:rPr>
              <w:t>Features</w:t>
            </w:r>
          </w:p>
          <w:p w14:paraId="5F0037A4" w14:textId="77777777" w:rsidR="0025035C" w:rsidRPr="00A74817" w:rsidRDefault="0025035C" w:rsidP="0025035C">
            <w:pPr>
              <w:jc w:val="center"/>
              <w:rPr>
                <w:rFonts w:ascii="Times New Roman" w:hAnsi="Times New Roman"/>
                <w:b/>
                <w:bCs/>
                <w:sz w:val="20"/>
              </w:rPr>
            </w:pPr>
          </w:p>
        </w:tc>
        <w:tc>
          <w:tcPr>
            <w:tcW w:w="1842" w:type="dxa"/>
            <w:vAlign w:val="center"/>
          </w:tcPr>
          <w:p w14:paraId="7269C302" w14:textId="50472CC0" w:rsidR="0025035C" w:rsidRDefault="0025035C" w:rsidP="0025035C">
            <w:pPr>
              <w:jc w:val="center"/>
              <w:rPr>
                <w:rFonts w:ascii="Times New Roman" w:hAnsi="Times New Roman"/>
                <w:b/>
                <w:bCs/>
                <w:sz w:val="20"/>
              </w:rPr>
            </w:pPr>
            <w:r>
              <w:rPr>
                <w:rFonts w:ascii="Times New Roman" w:hAnsi="Times New Roman"/>
                <w:b/>
                <w:bCs/>
                <w:sz w:val="20"/>
              </w:rPr>
              <w:t>Focal</w:t>
            </w:r>
          </w:p>
          <w:p w14:paraId="245E632D" w14:textId="6D1C5159" w:rsidR="0025035C" w:rsidRPr="00A74817" w:rsidRDefault="0025035C" w:rsidP="0025035C">
            <w:pPr>
              <w:jc w:val="center"/>
              <w:rPr>
                <w:rFonts w:ascii="Times New Roman" w:hAnsi="Times New Roman"/>
                <w:b/>
                <w:bCs/>
                <w:sz w:val="20"/>
              </w:rPr>
            </w:pPr>
            <w:r w:rsidRPr="00A74817">
              <w:rPr>
                <w:rFonts w:ascii="Times New Roman" w:hAnsi="Times New Roman"/>
                <w:b/>
                <w:bCs/>
                <w:sz w:val="20"/>
              </w:rPr>
              <w:t>Manipulation</w:t>
            </w:r>
          </w:p>
        </w:tc>
        <w:tc>
          <w:tcPr>
            <w:tcW w:w="1701" w:type="dxa"/>
            <w:vAlign w:val="center"/>
          </w:tcPr>
          <w:p w14:paraId="6CFAE558" w14:textId="33BFE82F" w:rsidR="0025035C" w:rsidRDefault="0025035C" w:rsidP="0025035C">
            <w:pPr>
              <w:jc w:val="center"/>
              <w:rPr>
                <w:rFonts w:ascii="Times New Roman" w:hAnsi="Times New Roman"/>
                <w:b/>
                <w:bCs/>
                <w:sz w:val="20"/>
              </w:rPr>
            </w:pPr>
            <w:r>
              <w:rPr>
                <w:rFonts w:ascii="Times New Roman" w:hAnsi="Times New Roman"/>
                <w:b/>
                <w:bCs/>
                <w:sz w:val="20"/>
              </w:rPr>
              <w:t>Effect of Focal Manipulation on</w:t>
            </w:r>
          </w:p>
          <w:p w14:paraId="540F727D" w14:textId="371C7F3F" w:rsidR="0025035C" w:rsidRPr="00A74817" w:rsidRDefault="0025035C" w:rsidP="0025035C">
            <w:pPr>
              <w:jc w:val="center"/>
              <w:rPr>
                <w:rFonts w:ascii="Times New Roman" w:hAnsi="Times New Roman"/>
                <w:b/>
                <w:bCs/>
                <w:sz w:val="20"/>
              </w:rPr>
            </w:pPr>
            <w:r w:rsidRPr="00A74817">
              <w:rPr>
                <w:rFonts w:ascii="Times New Roman" w:hAnsi="Times New Roman"/>
                <w:b/>
                <w:bCs/>
                <w:sz w:val="20"/>
              </w:rPr>
              <w:t xml:space="preserve">Investment </w:t>
            </w:r>
            <w:r w:rsidR="009529B9">
              <w:rPr>
                <w:rFonts w:ascii="Times New Roman" w:hAnsi="Times New Roman"/>
                <w:b/>
                <w:bCs/>
                <w:sz w:val="20"/>
              </w:rPr>
              <w:t>R</w:t>
            </w:r>
            <w:r w:rsidR="009529B9" w:rsidRPr="00A74817">
              <w:rPr>
                <w:rFonts w:ascii="Times New Roman" w:hAnsi="Times New Roman"/>
                <w:b/>
                <w:bCs/>
                <w:sz w:val="20"/>
              </w:rPr>
              <w:t>ates</w:t>
            </w:r>
          </w:p>
        </w:tc>
      </w:tr>
      <w:tr w:rsidR="0025035C" w:rsidRPr="00396E3B" w14:paraId="2650F13B" w14:textId="5EE8E03B" w:rsidTr="00511D2D">
        <w:tc>
          <w:tcPr>
            <w:tcW w:w="846" w:type="dxa"/>
            <w:vAlign w:val="center"/>
          </w:tcPr>
          <w:p w14:paraId="0806F4A5" w14:textId="2A47E9C2" w:rsidR="0025035C" w:rsidRPr="00A74817" w:rsidRDefault="0025035C" w:rsidP="0025035C">
            <w:pPr>
              <w:jc w:val="center"/>
              <w:rPr>
                <w:rFonts w:ascii="Times New Roman" w:hAnsi="Times New Roman"/>
                <w:sz w:val="20"/>
              </w:rPr>
            </w:pPr>
            <w:r>
              <w:rPr>
                <w:rFonts w:ascii="Times New Roman" w:hAnsi="Times New Roman"/>
                <w:sz w:val="20"/>
              </w:rPr>
              <w:t>1 &amp; A</w:t>
            </w:r>
          </w:p>
        </w:tc>
        <w:tc>
          <w:tcPr>
            <w:tcW w:w="1276" w:type="dxa"/>
            <w:vAlign w:val="center"/>
          </w:tcPr>
          <w:p w14:paraId="7F52F8E7" w14:textId="2938EDC9" w:rsidR="0025035C" w:rsidRPr="00A74817" w:rsidRDefault="0025035C" w:rsidP="0025035C">
            <w:pPr>
              <w:jc w:val="center"/>
              <w:rPr>
                <w:rFonts w:ascii="Times New Roman" w:hAnsi="Times New Roman"/>
                <w:sz w:val="20"/>
              </w:rPr>
            </w:pPr>
            <w:r w:rsidRPr="00A74817">
              <w:rPr>
                <w:rFonts w:ascii="Times New Roman" w:hAnsi="Times New Roman"/>
                <w:sz w:val="20"/>
              </w:rPr>
              <w:t>H1a</w:t>
            </w:r>
          </w:p>
        </w:tc>
        <w:tc>
          <w:tcPr>
            <w:tcW w:w="1842" w:type="dxa"/>
            <w:vAlign w:val="center"/>
          </w:tcPr>
          <w:p w14:paraId="50CEA9D7" w14:textId="6DD180E0" w:rsidR="0025035C" w:rsidRPr="00A74817" w:rsidDel="00885425" w:rsidRDefault="0025035C" w:rsidP="0025035C">
            <w:pPr>
              <w:jc w:val="center"/>
              <w:rPr>
                <w:rFonts w:ascii="Times New Roman" w:hAnsi="Times New Roman"/>
                <w:sz w:val="20"/>
              </w:rPr>
            </w:pPr>
            <w:r>
              <w:rPr>
                <w:rFonts w:ascii="Times New Roman" w:hAnsi="Times New Roman"/>
                <w:sz w:val="20"/>
              </w:rPr>
              <w:t>SPDs</w:t>
            </w:r>
            <w:r w:rsidRPr="00A74817">
              <w:rPr>
                <w:rFonts w:ascii="Times New Roman" w:hAnsi="Times New Roman"/>
                <w:sz w:val="20"/>
              </w:rPr>
              <w:t xml:space="preserve"> compared to </w:t>
            </w:r>
            <w:r>
              <w:rPr>
                <w:rFonts w:ascii="Times New Roman" w:hAnsi="Times New Roman"/>
                <w:sz w:val="20"/>
              </w:rPr>
              <w:t>DPDs</w:t>
            </w:r>
          </w:p>
        </w:tc>
        <w:tc>
          <w:tcPr>
            <w:tcW w:w="1842" w:type="dxa"/>
            <w:vAlign w:val="center"/>
          </w:tcPr>
          <w:p w14:paraId="7DE1D9CA" w14:textId="77777777" w:rsidR="009529B9" w:rsidRDefault="009529B9" w:rsidP="0025035C">
            <w:pPr>
              <w:jc w:val="center"/>
              <w:rPr>
                <w:rFonts w:ascii="Times New Roman" w:hAnsi="Times New Roman"/>
                <w:sz w:val="20"/>
              </w:rPr>
            </w:pPr>
          </w:p>
          <w:p w14:paraId="61DB2311" w14:textId="6A84A604" w:rsidR="0025035C" w:rsidRDefault="0025035C" w:rsidP="0025035C">
            <w:pPr>
              <w:jc w:val="center"/>
              <w:rPr>
                <w:rFonts w:ascii="Times New Roman" w:hAnsi="Times New Roman"/>
                <w:sz w:val="20"/>
              </w:rPr>
            </w:pPr>
            <w:r w:rsidRPr="00A74817">
              <w:rPr>
                <w:rFonts w:ascii="Times New Roman" w:hAnsi="Times New Roman"/>
                <w:sz w:val="20"/>
              </w:rPr>
              <w:t xml:space="preserve">Both </w:t>
            </w:r>
            <w:r>
              <w:rPr>
                <w:rFonts w:ascii="Times New Roman" w:hAnsi="Times New Roman"/>
                <w:sz w:val="20"/>
              </w:rPr>
              <w:t>risk</w:t>
            </w:r>
            <w:r w:rsidRPr="00A74817">
              <w:rPr>
                <w:rFonts w:ascii="Times New Roman" w:hAnsi="Times New Roman"/>
                <w:sz w:val="20"/>
              </w:rPr>
              <w:t xml:space="preserve"> and counterpart</w:t>
            </w:r>
          </w:p>
          <w:p w14:paraId="23568901" w14:textId="78E10FA4" w:rsidR="0025035C" w:rsidRPr="00A74817" w:rsidDel="00885425" w:rsidRDefault="0025035C" w:rsidP="0025035C">
            <w:pPr>
              <w:jc w:val="center"/>
              <w:rPr>
                <w:rFonts w:ascii="Times New Roman" w:hAnsi="Times New Roman"/>
                <w:sz w:val="20"/>
              </w:rPr>
            </w:pPr>
          </w:p>
        </w:tc>
        <w:tc>
          <w:tcPr>
            <w:tcW w:w="1842" w:type="dxa"/>
            <w:vAlign w:val="center"/>
          </w:tcPr>
          <w:p w14:paraId="2D23C196" w14:textId="5B4A75BE" w:rsidR="0025035C" w:rsidRPr="00A74817" w:rsidRDefault="0025035C" w:rsidP="0025035C">
            <w:pPr>
              <w:jc w:val="center"/>
              <w:rPr>
                <w:rFonts w:ascii="Times New Roman" w:hAnsi="Times New Roman"/>
                <w:sz w:val="20"/>
              </w:rPr>
            </w:pPr>
            <w:r>
              <w:rPr>
                <w:rFonts w:ascii="Times New Roman" w:hAnsi="Times New Roman"/>
                <w:sz w:val="20"/>
              </w:rPr>
              <w:t>Risk</w:t>
            </w:r>
          </w:p>
        </w:tc>
        <w:tc>
          <w:tcPr>
            <w:tcW w:w="1701" w:type="dxa"/>
            <w:vAlign w:val="center"/>
          </w:tcPr>
          <w:p w14:paraId="4FC66125" w14:textId="7F718B1D" w:rsidR="0025035C" w:rsidRPr="00A74817" w:rsidRDefault="0025035C" w:rsidP="0025035C">
            <w:pPr>
              <w:jc w:val="center"/>
              <w:rPr>
                <w:rFonts w:ascii="Times New Roman" w:hAnsi="Times New Roman"/>
                <w:sz w:val="20"/>
              </w:rPr>
            </w:pPr>
            <w:r w:rsidRPr="00A74817">
              <w:rPr>
                <w:rFonts w:ascii="Times New Roman" w:hAnsi="Times New Roman"/>
                <w:sz w:val="20"/>
              </w:rPr>
              <w:t>Decrease</w:t>
            </w:r>
          </w:p>
        </w:tc>
      </w:tr>
      <w:tr w:rsidR="0025035C" w:rsidRPr="00396E3B" w14:paraId="1476CD11" w14:textId="3CCCB839" w:rsidTr="00511D2D">
        <w:tc>
          <w:tcPr>
            <w:tcW w:w="846" w:type="dxa"/>
            <w:vAlign w:val="center"/>
          </w:tcPr>
          <w:p w14:paraId="7EE2258B" w14:textId="23DF9091" w:rsidR="0025035C" w:rsidRPr="00A74817" w:rsidRDefault="0025035C" w:rsidP="0025035C">
            <w:pPr>
              <w:jc w:val="center"/>
              <w:rPr>
                <w:rFonts w:ascii="Times New Roman" w:hAnsi="Times New Roman"/>
                <w:sz w:val="20"/>
              </w:rPr>
            </w:pPr>
            <w:r>
              <w:rPr>
                <w:rFonts w:ascii="Times New Roman" w:hAnsi="Times New Roman"/>
                <w:sz w:val="20"/>
              </w:rPr>
              <w:t>1 &amp; A</w:t>
            </w:r>
          </w:p>
        </w:tc>
        <w:tc>
          <w:tcPr>
            <w:tcW w:w="1276" w:type="dxa"/>
            <w:vAlign w:val="center"/>
          </w:tcPr>
          <w:p w14:paraId="0A432E77" w14:textId="0DE4000A" w:rsidR="0025035C" w:rsidRPr="00A74817" w:rsidRDefault="0025035C" w:rsidP="0025035C">
            <w:pPr>
              <w:jc w:val="center"/>
              <w:rPr>
                <w:rFonts w:ascii="Times New Roman" w:hAnsi="Times New Roman"/>
                <w:sz w:val="20"/>
              </w:rPr>
            </w:pPr>
            <w:r w:rsidRPr="00A74817">
              <w:rPr>
                <w:rFonts w:ascii="Times New Roman" w:hAnsi="Times New Roman"/>
                <w:sz w:val="20"/>
              </w:rPr>
              <w:t>H1b</w:t>
            </w:r>
          </w:p>
        </w:tc>
        <w:tc>
          <w:tcPr>
            <w:tcW w:w="1842" w:type="dxa"/>
            <w:vAlign w:val="center"/>
          </w:tcPr>
          <w:p w14:paraId="33604A88" w14:textId="4871B972" w:rsidR="0025035C" w:rsidRPr="00A74817" w:rsidRDefault="0025035C" w:rsidP="0025035C">
            <w:pPr>
              <w:jc w:val="center"/>
              <w:rPr>
                <w:rFonts w:ascii="Times New Roman" w:hAnsi="Times New Roman"/>
                <w:sz w:val="20"/>
              </w:rPr>
            </w:pPr>
            <w:r>
              <w:rPr>
                <w:rFonts w:ascii="Times New Roman" w:hAnsi="Times New Roman"/>
                <w:sz w:val="20"/>
              </w:rPr>
              <w:t>SPDs</w:t>
            </w:r>
            <w:r w:rsidRPr="00A74817">
              <w:rPr>
                <w:rFonts w:ascii="Times New Roman" w:hAnsi="Times New Roman"/>
                <w:sz w:val="20"/>
              </w:rPr>
              <w:t xml:space="preserve"> compared to </w:t>
            </w:r>
            <w:r>
              <w:rPr>
                <w:rFonts w:ascii="Times New Roman" w:hAnsi="Times New Roman"/>
                <w:sz w:val="20"/>
              </w:rPr>
              <w:t>DPDs</w:t>
            </w:r>
          </w:p>
        </w:tc>
        <w:tc>
          <w:tcPr>
            <w:tcW w:w="1842" w:type="dxa"/>
            <w:vAlign w:val="center"/>
          </w:tcPr>
          <w:p w14:paraId="4C32A355" w14:textId="77777777" w:rsidR="009529B9" w:rsidRDefault="009529B9" w:rsidP="0025035C">
            <w:pPr>
              <w:jc w:val="center"/>
              <w:rPr>
                <w:rFonts w:ascii="Times New Roman" w:hAnsi="Times New Roman"/>
                <w:sz w:val="20"/>
              </w:rPr>
            </w:pPr>
          </w:p>
          <w:p w14:paraId="3A431151" w14:textId="780AAA42" w:rsidR="0025035C" w:rsidRDefault="0025035C" w:rsidP="0025035C">
            <w:pPr>
              <w:jc w:val="center"/>
              <w:rPr>
                <w:rFonts w:ascii="Times New Roman" w:hAnsi="Times New Roman"/>
                <w:sz w:val="20"/>
              </w:rPr>
            </w:pPr>
            <w:r w:rsidRPr="00A74817">
              <w:rPr>
                <w:rFonts w:ascii="Times New Roman" w:hAnsi="Times New Roman"/>
                <w:sz w:val="20"/>
              </w:rPr>
              <w:t xml:space="preserve">Both </w:t>
            </w:r>
            <w:r>
              <w:rPr>
                <w:rFonts w:ascii="Times New Roman" w:hAnsi="Times New Roman"/>
                <w:sz w:val="20"/>
              </w:rPr>
              <w:t>risk</w:t>
            </w:r>
            <w:r w:rsidRPr="00A74817">
              <w:rPr>
                <w:rFonts w:ascii="Times New Roman" w:hAnsi="Times New Roman"/>
                <w:sz w:val="20"/>
              </w:rPr>
              <w:t xml:space="preserve"> and counterpart</w:t>
            </w:r>
          </w:p>
          <w:p w14:paraId="10181F32" w14:textId="4DE420E1" w:rsidR="0025035C" w:rsidRPr="00A74817" w:rsidRDefault="0025035C" w:rsidP="0025035C">
            <w:pPr>
              <w:jc w:val="center"/>
              <w:rPr>
                <w:rFonts w:ascii="Times New Roman" w:hAnsi="Times New Roman"/>
                <w:sz w:val="20"/>
              </w:rPr>
            </w:pPr>
          </w:p>
        </w:tc>
        <w:tc>
          <w:tcPr>
            <w:tcW w:w="1842" w:type="dxa"/>
            <w:vAlign w:val="center"/>
          </w:tcPr>
          <w:p w14:paraId="4E5A5064" w14:textId="49D2B46B" w:rsidR="0025035C" w:rsidRPr="00A74817" w:rsidRDefault="0025035C" w:rsidP="0025035C">
            <w:pPr>
              <w:jc w:val="center"/>
              <w:rPr>
                <w:rFonts w:ascii="Times New Roman" w:hAnsi="Times New Roman"/>
                <w:sz w:val="20"/>
              </w:rPr>
            </w:pPr>
            <w:r w:rsidRPr="00A74817">
              <w:rPr>
                <w:rFonts w:ascii="Times New Roman" w:hAnsi="Times New Roman"/>
                <w:sz w:val="20"/>
              </w:rPr>
              <w:t>Precommitment</w:t>
            </w:r>
          </w:p>
        </w:tc>
        <w:tc>
          <w:tcPr>
            <w:tcW w:w="1701" w:type="dxa"/>
            <w:vAlign w:val="center"/>
          </w:tcPr>
          <w:p w14:paraId="79CAD8E7" w14:textId="2FB8D87D" w:rsidR="0025035C" w:rsidRPr="00A74817" w:rsidRDefault="0025035C" w:rsidP="0025035C">
            <w:pPr>
              <w:jc w:val="center"/>
              <w:rPr>
                <w:rFonts w:ascii="Times New Roman" w:hAnsi="Times New Roman"/>
                <w:sz w:val="20"/>
              </w:rPr>
            </w:pPr>
            <w:r w:rsidRPr="00A74817">
              <w:rPr>
                <w:rFonts w:ascii="Times New Roman" w:hAnsi="Times New Roman"/>
                <w:sz w:val="20"/>
              </w:rPr>
              <w:t>Increase</w:t>
            </w:r>
          </w:p>
        </w:tc>
      </w:tr>
      <w:tr w:rsidR="0025035C" w:rsidRPr="00396E3B" w14:paraId="564FBEB0" w14:textId="45FAA80D" w:rsidTr="00511D2D">
        <w:tc>
          <w:tcPr>
            <w:tcW w:w="846" w:type="dxa"/>
            <w:vAlign w:val="center"/>
          </w:tcPr>
          <w:p w14:paraId="2B457BBA" w14:textId="52B9E364" w:rsidR="0025035C" w:rsidRPr="00A74817" w:rsidRDefault="0025035C" w:rsidP="0025035C">
            <w:pPr>
              <w:jc w:val="center"/>
              <w:rPr>
                <w:rFonts w:ascii="Times New Roman" w:hAnsi="Times New Roman"/>
                <w:sz w:val="20"/>
              </w:rPr>
            </w:pPr>
            <w:r>
              <w:rPr>
                <w:rFonts w:ascii="Times New Roman" w:hAnsi="Times New Roman"/>
                <w:sz w:val="20"/>
              </w:rPr>
              <w:t>2</w:t>
            </w:r>
          </w:p>
        </w:tc>
        <w:tc>
          <w:tcPr>
            <w:tcW w:w="1276" w:type="dxa"/>
            <w:vAlign w:val="center"/>
          </w:tcPr>
          <w:p w14:paraId="2CA5BE7F" w14:textId="44C74240" w:rsidR="0025035C" w:rsidRPr="00A74817" w:rsidRDefault="0025035C" w:rsidP="0025035C">
            <w:pPr>
              <w:jc w:val="center"/>
              <w:rPr>
                <w:rFonts w:ascii="Times New Roman" w:hAnsi="Times New Roman"/>
                <w:sz w:val="20"/>
              </w:rPr>
            </w:pPr>
            <w:r w:rsidRPr="00A74817">
              <w:rPr>
                <w:rFonts w:ascii="Times New Roman" w:hAnsi="Times New Roman"/>
                <w:sz w:val="20"/>
              </w:rPr>
              <w:t>H2</w:t>
            </w:r>
          </w:p>
        </w:tc>
        <w:tc>
          <w:tcPr>
            <w:tcW w:w="1842" w:type="dxa"/>
            <w:vAlign w:val="center"/>
          </w:tcPr>
          <w:p w14:paraId="0682C780" w14:textId="43CE491B" w:rsidR="0025035C" w:rsidRPr="00A74817" w:rsidRDefault="0025035C" w:rsidP="0025035C">
            <w:pPr>
              <w:jc w:val="center"/>
              <w:rPr>
                <w:rFonts w:ascii="Times New Roman" w:hAnsi="Times New Roman"/>
                <w:sz w:val="20"/>
              </w:rPr>
            </w:pPr>
            <w:r w:rsidRPr="00A74817">
              <w:rPr>
                <w:rFonts w:ascii="Times New Roman" w:hAnsi="Times New Roman"/>
                <w:sz w:val="20"/>
              </w:rPr>
              <w:t>Stochastic “solo” games compared to deterministic “solo” games.</w:t>
            </w:r>
          </w:p>
        </w:tc>
        <w:tc>
          <w:tcPr>
            <w:tcW w:w="1842" w:type="dxa"/>
            <w:vAlign w:val="center"/>
          </w:tcPr>
          <w:p w14:paraId="622C2B1A" w14:textId="5BD763D4" w:rsidR="0025035C" w:rsidRPr="00A74817" w:rsidRDefault="0025035C" w:rsidP="0025035C">
            <w:pPr>
              <w:jc w:val="center"/>
              <w:rPr>
                <w:rFonts w:ascii="Times New Roman" w:hAnsi="Times New Roman"/>
                <w:sz w:val="20"/>
              </w:rPr>
            </w:pPr>
            <w:r>
              <w:rPr>
                <w:rFonts w:ascii="Times New Roman" w:hAnsi="Times New Roman"/>
                <w:sz w:val="20"/>
              </w:rPr>
              <w:t>Risk</w:t>
            </w:r>
            <w:r w:rsidRPr="00A74817">
              <w:rPr>
                <w:rFonts w:ascii="Times New Roman" w:hAnsi="Times New Roman"/>
                <w:sz w:val="20"/>
              </w:rPr>
              <w:t xml:space="preserve"> only</w:t>
            </w:r>
          </w:p>
        </w:tc>
        <w:tc>
          <w:tcPr>
            <w:tcW w:w="1842" w:type="dxa"/>
            <w:vAlign w:val="center"/>
          </w:tcPr>
          <w:p w14:paraId="6D89E640" w14:textId="08718833" w:rsidR="0025035C" w:rsidRPr="00A74817" w:rsidRDefault="0025035C" w:rsidP="0025035C">
            <w:pPr>
              <w:jc w:val="center"/>
              <w:rPr>
                <w:rFonts w:ascii="Times New Roman" w:hAnsi="Times New Roman"/>
                <w:sz w:val="20"/>
              </w:rPr>
            </w:pPr>
            <w:r w:rsidRPr="00A74817">
              <w:rPr>
                <w:rFonts w:ascii="Times New Roman" w:hAnsi="Times New Roman"/>
                <w:sz w:val="20"/>
              </w:rPr>
              <w:t>Precommitment</w:t>
            </w:r>
          </w:p>
        </w:tc>
        <w:tc>
          <w:tcPr>
            <w:tcW w:w="1701" w:type="dxa"/>
            <w:vAlign w:val="center"/>
          </w:tcPr>
          <w:p w14:paraId="5E531677" w14:textId="09414485" w:rsidR="0025035C" w:rsidRPr="00A74817" w:rsidRDefault="0025035C" w:rsidP="0025035C">
            <w:pPr>
              <w:jc w:val="center"/>
              <w:rPr>
                <w:rFonts w:ascii="Times New Roman" w:hAnsi="Times New Roman"/>
                <w:sz w:val="20"/>
              </w:rPr>
            </w:pPr>
            <w:r w:rsidRPr="00A74817">
              <w:rPr>
                <w:rFonts w:ascii="Times New Roman" w:hAnsi="Times New Roman"/>
                <w:sz w:val="20"/>
              </w:rPr>
              <w:t>Increase</w:t>
            </w:r>
          </w:p>
        </w:tc>
      </w:tr>
      <w:tr w:rsidR="0025035C" w:rsidRPr="00396E3B" w14:paraId="52221DF9" w14:textId="78EE3200" w:rsidTr="00511D2D">
        <w:tc>
          <w:tcPr>
            <w:tcW w:w="846" w:type="dxa"/>
            <w:vAlign w:val="center"/>
          </w:tcPr>
          <w:p w14:paraId="099E70AA" w14:textId="40554F91" w:rsidR="0025035C" w:rsidRPr="00A74817" w:rsidRDefault="0025035C" w:rsidP="0025035C">
            <w:pPr>
              <w:jc w:val="center"/>
              <w:rPr>
                <w:rFonts w:ascii="Times New Roman" w:hAnsi="Times New Roman"/>
                <w:sz w:val="20"/>
              </w:rPr>
            </w:pPr>
            <w:r>
              <w:rPr>
                <w:rFonts w:ascii="Times New Roman" w:hAnsi="Times New Roman"/>
                <w:sz w:val="20"/>
              </w:rPr>
              <w:t>3</w:t>
            </w:r>
          </w:p>
        </w:tc>
        <w:tc>
          <w:tcPr>
            <w:tcW w:w="1276" w:type="dxa"/>
            <w:vAlign w:val="center"/>
          </w:tcPr>
          <w:p w14:paraId="5D1EE267" w14:textId="23A84652" w:rsidR="0025035C" w:rsidRPr="00A74817" w:rsidRDefault="0025035C" w:rsidP="0025035C">
            <w:pPr>
              <w:jc w:val="center"/>
              <w:rPr>
                <w:rFonts w:ascii="Times New Roman" w:hAnsi="Times New Roman"/>
                <w:sz w:val="20"/>
              </w:rPr>
            </w:pPr>
            <w:r w:rsidRPr="00A74817">
              <w:rPr>
                <w:rFonts w:ascii="Times New Roman" w:hAnsi="Times New Roman"/>
                <w:sz w:val="20"/>
              </w:rPr>
              <w:t>H3</w:t>
            </w:r>
          </w:p>
        </w:tc>
        <w:tc>
          <w:tcPr>
            <w:tcW w:w="1842" w:type="dxa"/>
            <w:vAlign w:val="center"/>
          </w:tcPr>
          <w:p w14:paraId="335E17E6" w14:textId="711D9FBE" w:rsidR="0025035C" w:rsidRPr="00A74817" w:rsidRDefault="0025035C" w:rsidP="0025035C">
            <w:pPr>
              <w:jc w:val="center"/>
              <w:rPr>
                <w:rFonts w:ascii="Times New Roman" w:hAnsi="Times New Roman"/>
                <w:sz w:val="20"/>
              </w:rPr>
            </w:pPr>
            <w:r>
              <w:rPr>
                <w:rFonts w:ascii="Times New Roman" w:hAnsi="Times New Roman"/>
                <w:sz w:val="20"/>
              </w:rPr>
              <w:t>P</w:t>
            </w:r>
            <w:r w:rsidRPr="00A74817">
              <w:rPr>
                <w:rFonts w:ascii="Times New Roman" w:hAnsi="Times New Roman"/>
                <w:sz w:val="20"/>
              </w:rPr>
              <w:t xml:space="preserve">recommitment </w:t>
            </w:r>
            <w:r>
              <w:rPr>
                <w:rFonts w:ascii="Times New Roman" w:hAnsi="Times New Roman"/>
                <w:sz w:val="20"/>
              </w:rPr>
              <w:t xml:space="preserve">DPDs </w:t>
            </w:r>
            <w:r w:rsidRPr="00A74817">
              <w:rPr>
                <w:rFonts w:ascii="Times New Roman" w:hAnsi="Times New Roman"/>
                <w:sz w:val="20"/>
              </w:rPr>
              <w:t xml:space="preserve">compared to round-by-round </w:t>
            </w:r>
            <w:r>
              <w:rPr>
                <w:rFonts w:ascii="Times New Roman" w:hAnsi="Times New Roman"/>
                <w:sz w:val="20"/>
              </w:rPr>
              <w:t>DPDs</w:t>
            </w:r>
            <w:r w:rsidRPr="00A74817">
              <w:rPr>
                <w:rFonts w:ascii="Times New Roman" w:hAnsi="Times New Roman"/>
                <w:sz w:val="20"/>
              </w:rPr>
              <w:t>.</w:t>
            </w:r>
          </w:p>
        </w:tc>
        <w:tc>
          <w:tcPr>
            <w:tcW w:w="1842" w:type="dxa"/>
            <w:vAlign w:val="center"/>
          </w:tcPr>
          <w:p w14:paraId="3BC7976A" w14:textId="1886332A" w:rsidR="0025035C" w:rsidRPr="00A74817" w:rsidRDefault="0025035C" w:rsidP="0025035C">
            <w:pPr>
              <w:jc w:val="center"/>
              <w:rPr>
                <w:rFonts w:ascii="Times New Roman" w:hAnsi="Times New Roman"/>
                <w:sz w:val="20"/>
              </w:rPr>
            </w:pPr>
            <w:r w:rsidRPr="00A74817">
              <w:rPr>
                <w:rFonts w:ascii="Times New Roman" w:hAnsi="Times New Roman"/>
                <w:sz w:val="20"/>
              </w:rPr>
              <w:t>Counterpart only</w:t>
            </w:r>
          </w:p>
        </w:tc>
        <w:tc>
          <w:tcPr>
            <w:tcW w:w="1842" w:type="dxa"/>
            <w:vAlign w:val="center"/>
          </w:tcPr>
          <w:p w14:paraId="04E075C5" w14:textId="537E67B9" w:rsidR="0025035C" w:rsidRPr="00A74817" w:rsidRDefault="0025035C" w:rsidP="0025035C">
            <w:pPr>
              <w:jc w:val="center"/>
              <w:rPr>
                <w:rFonts w:ascii="Times New Roman" w:hAnsi="Times New Roman"/>
                <w:sz w:val="20"/>
              </w:rPr>
            </w:pPr>
            <w:r w:rsidRPr="00A74817">
              <w:rPr>
                <w:rFonts w:ascii="Times New Roman" w:hAnsi="Times New Roman"/>
                <w:sz w:val="20"/>
              </w:rPr>
              <w:t>Precommitment</w:t>
            </w:r>
          </w:p>
        </w:tc>
        <w:tc>
          <w:tcPr>
            <w:tcW w:w="1701" w:type="dxa"/>
            <w:vAlign w:val="center"/>
          </w:tcPr>
          <w:p w14:paraId="3212ACB5" w14:textId="1B131D3E" w:rsidR="0025035C" w:rsidRPr="00A74817" w:rsidRDefault="0025035C" w:rsidP="0025035C">
            <w:pPr>
              <w:jc w:val="center"/>
              <w:rPr>
                <w:rFonts w:ascii="Times New Roman" w:hAnsi="Times New Roman"/>
                <w:sz w:val="20"/>
              </w:rPr>
            </w:pPr>
            <w:r w:rsidRPr="00A74817">
              <w:rPr>
                <w:rFonts w:ascii="Times New Roman" w:hAnsi="Times New Roman"/>
                <w:sz w:val="20"/>
              </w:rPr>
              <w:t>Decrease</w:t>
            </w:r>
          </w:p>
        </w:tc>
      </w:tr>
      <w:tr w:rsidR="0025035C" w:rsidRPr="00396E3B" w14:paraId="1A10A70F" w14:textId="77777777" w:rsidTr="00511D2D">
        <w:tc>
          <w:tcPr>
            <w:tcW w:w="846" w:type="dxa"/>
            <w:vAlign w:val="center"/>
          </w:tcPr>
          <w:p w14:paraId="7C363092" w14:textId="23DA3828" w:rsidR="0025035C" w:rsidRDefault="0025035C" w:rsidP="0025035C">
            <w:pPr>
              <w:jc w:val="center"/>
              <w:rPr>
                <w:rFonts w:ascii="Times New Roman" w:hAnsi="Times New Roman"/>
                <w:sz w:val="20"/>
              </w:rPr>
            </w:pPr>
            <w:r>
              <w:rPr>
                <w:rFonts w:ascii="Times New Roman" w:hAnsi="Times New Roman"/>
                <w:sz w:val="20"/>
              </w:rPr>
              <w:t>4</w:t>
            </w:r>
          </w:p>
        </w:tc>
        <w:tc>
          <w:tcPr>
            <w:tcW w:w="1276" w:type="dxa"/>
            <w:vAlign w:val="center"/>
          </w:tcPr>
          <w:p w14:paraId="45F253F0" w14:textId="5293DC67" w:rsidR="0025035C" w:rsidRPr="00A74817" w:rsidRDefault="0025035C" w:rsidP="0025035C">
            <w:pPr>
              <w:jc w:val="center"/>
              <w:rPr>
                <w:rFonts w:ascii="Times New Roman" w:hAnsi="Times New Roman"/>
                <w:sz w:val="20"/>
              </w:rPr>
            </w:pPr>
            <w:r>
              <w:rPr>
                <w:rFonts w:ascii="Times New Roman" w:hAnsi="Times New Roman"/>
                <w:sz w:val="20"/>
              </w:rPr>
              <w:t>--</w:t>
            </w:r>
          </w:p>
        </w:tc>
        <w:tc>
          <w:tcPr>
            <w:tcW w:w="1842" w:type="dxa"/>
            <w:vAlign w:val="center"/>
          </w:tcPr>
          <w:p w14:paraId="2B38A7CA" w14:textId="7102CB9D" w:rsidR="0025035C" w:rsidRDefault="0025035C" w:rsidP="0025035C">
            <w:pPr>
              <w:jc w:val="center"/>
              <w:rPr>
                <w:rFonts w:ascii="Times New Roman" w:hAnsi="Times New Roman"/>
                <w:sz w:val="20"/>
              </w:rPr>
            </w:pPr>
            <w:r>
              <w:rPr>
                <w:rFonts w:ascii="Times New Roman" w:hAnsi="Times New Roman"/>
                <w:sz w:val="20"/>
              </w:rPr>
              <w:t>SPDs</w:t>
            </w:r>
          </w:p>
        </w:tc>
        <w:tc>
          <w:tcPr>
            <w:tcW w:w="1842" w:type="dxa"/>
            <w:vAlign w:val="center"/>
          </w:tcPr>
          <w:p w14:paraId="3789C8E0" w14:textId="23B45B63" w:rsidR="0025035C" w:rsidRDefault="0025035C" w:rsidP="0025035C">
            <w:pPr>
              <w:jc w:val="center"/>
              <w:rPr>
                <w:rFonts w:ascii="Times New Roman" w:hAnsi="Times New Roman"/>
                <w:sz w:val="20"/>
              </w:rPr>
            </w:pPr>
            <w:r w:rsidRPr="00A74817">
              <w:rPr>
                <w:rFonts w:ascii="Times New Roman" w:hAnsi="Times New Roman"/>
                <w:sz w:val="20"/>
              </w:rPr>
              <w:t xml:space="preserve">Both </w:t>
            </w:r>
            <w:r>
              <w:rPr>
                <w:rFonts w:ascii="Times New Roman" w:hAnsi="Times New Roman"/>
                <w:sz w:val="20"/>
              </w:rPr>
              <w:t>risk</w:t>
            </w:r>
            <w:r w:rsidRPr="00A74817">
              <w:rPr>
                <w:rFonts w:ascii="Times New Roman" w:hAnsi="Times New Roman"/>
                <w:sz w:val="20"/>
              </w:rPr>
              <w:t xml:space="preserve"> and counterpart</w:t>
            </w:r>
          </w:p>
        </w:tc>
        <w:tc>
          <w:tcPr>
            <w:tcW w:w="1842" w:type="dxa"/>
            <w:vAlign w:val="center"/>
          </w:tcPr>
          <w:p w14:paraId="7C8B049C" w14:textId="73089492" w:rsidR="0025035C" w:rsidRPr="00A74817" w:rsidRDefault="0025035C" w:rsidP="0025035C">
            <w:pPr>
              <w:jc w:val="center"/>
              <w:rPr>
                <w:rFonts w:ascii="Times New Roman" w:hAnsi="Times New Roman"/>
                <w:sz w:val="20"/>
              </w:rPr>
            </w:pPr>
            <w:r>
              <w:rPr>
                <w:rFonts w:ascii="Times New Roman" w:hAnsi="Times New Roman"/>
                <w:sz w:val="20"/>
              </w:rPr>
              <w:t xml:space="preserve">Binding vs </w:t>
            </w:r>
            <w:proofErr w:type="gramStart"/>
            <w:r>
              <w:rPr>
                <w:rFonts w:ascii="Times New Roman" w:hAnsi="Times New Roman"/>
                <w:sz w:val="20"/>
              </w:rPr>
              <w:t>Non-binding</w:t>
            </w:r>
            <w:proofErr w:type="gramEnd"/>
            <w:r>
              <w:rPr>
                <w:rFonts w:ascii="Times New Roman" w:hAnsi="Times New Roman"/>
                <w:sz w:val="20"/>
              </w:rPr>
              <w:t xml:space="preserve"> precommitment</w:t>
            </w:r>
          </w:p>
        </w:tc>
        <w:tc>
          <w:tcPr>
            <w:tcW w:w="1701" w:type="dxa"/>
            <w:vAlign w:val="center"/>
          </w:tcPr>
          <w:p w14:paraId="7C3CE07C" w14:textId="0D7B4838" w:rsidR="0025035C" w:rsidRPr="00A74817" w:rsidRDefault="0025035C" w:rsidP="0025035C">
            <w:pPr>
              <w:jc w:val="center"/>
              <w:rPr>
                <w:rFonts w:ascii="Times New Roman" w:hAnsi="Times New Roman"/>
                <w:sz w:val="20"/>
              </w:rPr>
            </w:pPr>
            <w:r>
              <w:rPr>
                <w:rFonts w:ascii="Times New Roman" w:hAnsi="Times New Roman"/>
                <w:sz w:val="20"/>
              </w:rPr>
              <w:t>Decrease</w:t>
            </w:r>
          </w:p>
        </w:tc>
      </w:tr>
    </w:tbl>
    <w:p w14:paraId="2A9A2ECF" w14:textId="7F8C4171" w:rsidR="00F9721E" w:rsidRPr="002B5ADD" w:rsidRDefault="003208C2" w:rsidP="003208C2">
      <w:pPr>
        <w:spacing w:line="480" w:lineRule="auto"/>
        <w:rPr>
          <w:rFonts w:ascii="Times New Roman" w:hAnsi="Times New Roman"/>
          <w:b/>
          <w:bCs/>
        </w:rPr>
      </w:pPr>
      <w:r w:rsidRPr="002208A3">
        <w:rPr>
          <w:rFonts w:ascii="Times New Roman" w:hAnsi="Times New Roman"/>
          <w:b/>
          <w:bCs/>
        </w:rPr>
        <w:lastRenderedPageBreak/>
        <w:t>Study</w:t>
      </w:r>
      <w:r w:rsidR="00071CE9">
        <w:rPr>
          <w:rFonts w:ascii="Times New Roman" w:hAnsi="Times New Roman"/>
          <w:b/>
          <w:bCs/>
        </w:rPr>
        <w:t xml:space="preserve"> </w:t>
      </w:r>
      <w:r w:rsidRPr="002208A3">
        <w:rPr>
          <w:rFonts w:ascii="Times New Roman" w:hAnsi="Times New Roman"/>
          <w:b/>
          <w:bCs/>
        </w:rPr>
        <w:t>1:</w:t>
      </w:r>
      <w:r w:rsidRPr="002208A3" w:rsidDel="003208C2">
        <w:rPr>
          <w:rFonts w:ascii="Times New Roman" w:hAnsi="Times New Roman"/>
          <w:highlight w:val="yellow"/>
          <w:u w:val="single"/>
        </w:rPr>
        <w:t xml:space="preserve"> </w:t>
      </w:r>
    </w:p>
    <w:p w14:paraId="780271BE" w14:textId="4D8E35EE" w:rsidR="0051471F" w:rsidRPr="002208A3" w:rsidRDefault="003D7B9B" w:rsidP="000F16A0">
      <w:pPr>
        <w:spacing w:line="480" w:lineRule="auto"/>
        <w:ind w:firstLine="720"/>
        <w:rPr>
          <w:rFonts w:ascii="Times New Roman" w:hAnsi="Times New Roman"/>
        </w:rPr>
      </w:pPr>
      <w:r w:rsidRPr="002208A3">
        <w:rPr>
          <w:rFonts w:ascii="Times New Roman" w:hAnsi="Times New Roman"/>
        </w:rPr>
        <w:t>The first study compared a typical</w:t>
      </w:r>
      <w:r w:rsidR="00D75232">
        <w:rPr>
          <w:rFonts w:ascii="Times New Roman" w:hAnsi="Times New Roman"/>
        </w:rPr>
        <w:t>,</w:t>
      </w:r>
      <w:r w:rsidRPr="002208A3">
        <w:rPr>
          <w:rFonts w:ascii="Times New Roman" w:hAnsi="Times New Roman"/>
        </w:rPr>
        <w:t xml:space="preserve"> repeated</w:t>
      </w:r>
      <w:r w:rsidR="00D75232">
        <w:rPr>
          <w:rFonts w:ascii="Times New Roman" w:hAnsi="Times New Roman"/>
        </w:rPr>
        <w:t>, deterministic</w:t>
      </w:r>
      <w:r w:rsidRPr="002208A3">
        <w:rPr>
          <w:rFonts w:ascii="Times New Roman" w:hAnsi="Times New Roman"/>
        </w:rPr>
        <w:t xml:space="preserve"> prisoner's dilemma </w:t>
      </w:r>
      <w:r w:rsidR="00D75232">
        <w:rPr>
          <w:rFonts w:ascii="Times New Roman" w:hAnsi="Times New Roman"/>
        </w:rPr>
        <w:t>(DPD</w:t>
      </w:r>
      <w:r w:rsidR="0090281E">
        <w:rPr>
          <w:rFonts w:ascii="Times New Roman" w:hAnsi="Times New Roman"/>
        </w:rPr>
        <w:t>-rep</w:t>
      </w:r>
      <w:r w:rsidR="00D75232">
        <w:rPr>
          <w:rFonts w:ascii="Times New Roman" w:hAnsi="Times New Roman"/>
        </w:rPr>
        <w:t xml:space="preserve">) </w:t>
      </w:r>
      <w:r w:rsidRPr="002208A3">
        <w:rPr>
          <w:rFonts w:ascii="Times New Roman" w:hAnsi="Times New Roman"/>
        </w:rPr>
        <w:t>with a stochastic version of t</w:t>
      </w:r>
      <w:r w:rsidR="003F684B" w:rsidRPr="002208A3">
        <w:rPr>
          <w:rFonts w:ascii="Times New Roman" w:hAnsi="Times New Roman"/>
        </w:rPr>
        <w:t>he same game</w:t>
      </w:r>
      <w:r w:rsidR="00D75232">
        <w:rPr>
          <w:rFonts w:ascii="Times New Roman" w:hAnsi="Times New Roman"/>
        </w:rPr>
        <w:t xml:space="preserve"> (SPD</w:t>
      </w:r>
      <w:r w:rsidR="0090281E">
        <w:rPr>
          <w:rFonts w:ascii="Times New Roman" w:hAnsi="Times New Roman"/>
        </w:rPr>
        <w:t>-rep</w:t>
      </w:r>
      <w:r w:rsidR="00D75232">
        <w:rPr>
          <w:rFonts w:ascii="Times New Roman" w:hAnsi="Times New Roman"/>
        </w:rPr>
        <w:t>)</w:t>
      </w:r>
      <w:r w:rsidR="003F684B" w:rsidRPr="002208A3">
        <w:rPr>
          <w:rFonts w:ascii="Times New Roman" w:hAnsi="Times New Roman"/>
        </w:rPr>
        <w:t>, and a version of the stochastic game in which participants would be forced to precommit their choices for 20 rounds at a time</w:t>
      </w:r>
      <w:r w:rsidR="0090281E">
        <w:rPr>
          <w:rFonts w:ascii="Times New Roman" w:hAnsi="Times New Roman"/>
        </w:rPr>
        <w:t xml:space="preserve"> (SPD-pre)</w:t>
      </w:r>
      <w:r w:rsidR="003F684B" w:rsidRPr="002208A3">
        <w:rPr>
          <w:rFonts w:ascii="Times New Roman" w:hAnsi="Times New Roman"/>
        </w:rPr>
        <w:t>. We hypothesized that cooperation rates would be lower in the stochastic game</w:t>
      </w:r>
      <w:r w:rsidR="00DE6DBD" w:rsidRPr="002208A3">
        <w:rPr>
          <w:rFonts w:ascii="Times New Roman" w:hAnsi="Times New Roman"/>
        </w:rPr>
        <w:t xml:space="preserve"> than the deterministic game</w:t>
      </w:r>
      <w:r w:rsidR="005D7E6D">
        <w:rPr>
          <w:rFonts w:ascii="Times New Roman" w:hAnsi="Times New Roman"/>
        </w:rPr>
        <w:t xml:space="preserve"> (</w:t>
      </w:r>
      <w:r w:rsidR="00C32CB2">
        <w:rPr>
          <w:rFonts w:ascii="Times New Roman" w:hAnsi="Times New Roman"/>
        </w:rPr>
        <w:t xml:space="preserve">H1a, </w:t>
      </w:r>
      <w:r w:rsidR="005D7E6D">
        <w:rPr>
          <w:rFonts w:ascii="Times New Roman" w:hAnsi="Times New Roman"/>
        </w:rPr>
        <w:t xml:space="preserve">which would </w:t>
      </w:r>
      <w:r w:rsidR="005D7E6D" w:rsidRPr="002208A3">
        <w:rPr>
          <w:rFonts w:ascii="Times New Roman" w:hAnsi="Times New Roman"/>
        </w:rPr>
        <w:t>replicat</w:t>
      </w:r>
      <w:r w:rsidR="005D7E6D">
        <w:rPr>
          <w:rFonts w:ascii="Times New Roman" w:hAnsi="Times New Roman"/>
        </w:rPr>
        <w:t>e</w:t>
      </w:r>
      <w:r w:rsidR="005D7E6D" w:rsidRPr="002208A3">
        <w:rPr>
          <w:rFonts w:ascii="Times New Roman" w:hAnsi="Times New Roman"/>
        </w:rPr>
        <w:t xml:space="preserve"> </w:t>
      </w:r>
      <w:r w:rsidR="003F684B" w:rsidRPr="002208A3">
        <w:rPr>
          <w:rFonts w:ascii="Times New Roman" w:hAnsi="Times New Roman"/>
        </w:rPr>
        <w:t>previous research</w:t>
      </w:r>
      <w:r w:rsidR="005D7E6D">
        <w:rPr>
          <w:rFonts w:ascii="Times New Roman" w:hAnsi="Times New Roman"/>
        </w:rPr>
        <w:t>)</w:t>
      </w:r>
      <w:r w:rsidR="003F684B" w:rsidRPr="002208A3">
        <w:rPr>
          <w:rFonts w:ascii="Times New Roman" w:hAnsi="Times New Roman"/>
        </w:rPr>
        <w:t xml:space="preserve">. </w:t>
      </w:r>
      <w:r w:rsidR="00DE6DBD" w:rsidRPr="002208A3">
        <w:rPr>
          <w:rFonts w:ascii="Times New Roman" w:hAnsi="Times New Roman"/>
        </w:rPr>
        <w:t>We further hypothesized that precommitment would raise investment rates in the stochastic game, moving them closer to the deterministic condition</w:t>
      </w:r>
      <w:r w:rsidR="00C32CB2">
        <w:rPr>
          <w:rFonts w:ascii="Times New Roman" w:hAnsi="Times New Roman"/>
        </w:rPr>
        <w:t xml:space="preserve"> (H1b</w:t>
      </w:r>
      <w:r w:rsidR="00171FBE">
        <w:rPr>
          <w:rFonts w:ascii="Times New Roman" w:hAnsi="Times New Roman"/>
        </w:rPr>
        <w:t xml:space="preserve">, </w:t>
      </w:r>
      <w:r w:rsidR="009F4E96">
        <w:rPr>
          <w:rFonts w:ascii="Times New Roman" w:hAnsi="Times New Roman"/>
        </w:rPr>
        <w:t>our</w:t>
      </w:r>
      <w:r w:rsidR="00171FBE">
        <w:rPr>
          <w:rFonts w:ascii="Times New Roman" w:hAnsi="Times New Roman"/>
        </w:rPr>
        <w:t xml:space="preserve"> novel contribution</w:t>
      </w:r>
      <w:r w:rsidR="00C32CB2">
        <w:rPr>
          <w:rFonts w:ascii="Times New Roman" w:hAnsi="Times New Roman"/>
        </w:rPr>
        <w:t>)</w:t>
      </w:r>
      <w:r w:rsidR="00DE6DBD" w:rsidRPr="002208A3">
        <w:rPr>
          <w:rFonts w:ascii="Times New Roman" w:hAnsi="Times New Roman"/>
        </w:rPr>
        <w:t xml:space="preserve">. </w:t>
      </w:r>
    </w:p>
    <w:p w14:paraId="10D28F38" w14:textId="77777777" w:rsidR="000800FE" w:rsidRPr="002208A3" w:rsidRDefault="000800FE" w:rsidP="00AF2B85">
      <w:pPr>
        <w:spacing w:line="480" w:lineRule="auto"/>
        <w:rPr>
          <w:rFonts w:ascii="Times New Roman" w:hAnsi="Times New Roman"/>
        </w:rPr>
      </w:pPr>
    </w:p>
    <w:p w14:paraId="78CD214B" w14:textId="77777777" w:rsidR="000800FE" w:rsidRPr="002208A3" w:rsidRDefault="000800FE" w:rsidP="00AF2B85">
      <w:pPr>
        <w:spacing w:line="480" w:lineRule="auto"/>
        <w:rPr>
          <w:rFonts w:ascii="Times New Roman" w:hAnsi="Times New Roman"/>
          <w:i/>
        </w:rPr>
      </w:pPr>
      <w:r w:rsidRPr="002208A3">
        <w:rPr>
          <w:rFonts w:ascii="Times New Roman" w:hAnsi="Times New Roman"/>
          <w:i/>
        </w:rPr>
        <w:t>Study 1</w:t>
      </w:r>
      <w:r w:rsidR="00E973ED" w:rsidRPr="002208A3">
        <w:rPr>
          <w:rFonts w:ascii="Times New Roman" w:hAnsi="Times New Roman"/>
          <w:i/>
        </w:rPr>
        <w:t>: Participants</w:t>
      </w:r>
    </w:p>
    <w:p w14:paraId="70834529" w14:textId="2322DF12" w:rsidR="003060C2" w:rsidRPr="002208A3" w:rsidRDefault="00E973ED" w:rsidP="00AF2B85">
      <w:pPr>
        <w:spacing w:line="480" w:lineRule="auto"/>
        <w:rPr>
          <w:rFonts w:ascii="Times New Roman" w:hAnsi="Times New Roman"/>
        </w:rPr>
      </w:pPr>
      <w:r w:rsidRPr="002208A3">
        <w:rPr>
          <w:rFonts w:ascii="Times New Roman" w:hAnsi="Times New Roman"/>
        </w:rPr>
        <w:t xml:space="preserve">90 participants </w:t>
      </w:r>
      <w:r w:rsidR="006D45C3" w:rsidRPr="002208A3">
        <w:rPr>
          <w:rFonts w:ascii="Times New Roman" w:hAnsi="Times New Roman"/>
        </w:rPr>
        <w:t>(</w:t>
      </w:r>
      <w:r w:rsidR="007608B9" w:rsidRPr="002208A3">
        <w:rPr>
          <w:rFonts w:ascii="Times New Roman" w:hAnsi="Times New Roman"/>
        </w:rPr>
        <w:t xml:space="preserve">61% female, </w:t>
      </w:r>
      <w:r w:rsidR="006D45C3" w:rsidRPr="002208A3">
        <w:rPr>
          <w:rFonts w:ascii="Times New Roman" w:hAnsi="Times New Roman"/>
        </w:rPr>
        <w:t>mean age = 2</w:t>
      </w:r>
      <w:r w:rsidR="00666396">
        <w:rPr>
          <w:rFonts w:ascii="Times New Roman" w:hAnsi="Times New Roman"/>
        </w:rPr>
        <w:t>2</w:t>
      </w:r>
      <w:r w:rsidR="004C0A26" w:rsidRPr="002208A3">
        <w:rPr>
          <w:rFonts w:ascii="Times New Roman" w:hAnsi="Times New Roman"/>
        </w:rPr>
        <w:t>.</w:t>
      </w:r>
      <w:r w:rsidR="00666396">
        <w:rPr>
          <w:rFonts w:ascii="Times New Roman" w:hAnsi="Times New Roman"/>
        </w:rPr>
        <w:t>00</w:t>
      </w:r>
      <w:r w:rsidR="006D45C3" w:rsidRPr="002208A3">
        <w:rPr>
          <w:rFonts w:ascii="Times New Roman" w:hAnsi="Times New Roman"/>
        </w:rPr>
        <w:t>, SD=4.</w:t>
      </w:r>
      <w:r w:rsidR="00666396">
        <w:rPr>
          <w:rFonts w:ascii="Times New Roman" w:hAnsi="Times New Roman"/>
        </w:rPr>
        <w:t>71</w:t>
      </w:r>
      <w:r w:rsidR="006D45C3" w:rsidRPr="002208A3">
        <w:rPr>
          <w:rFonts w:ascii="Times New Roman" w:hAnsi="Times New Roman"/>
        </w:rPr>
        <w:t>)</w:t>
      </w:r>
      <w:r w:rsidR="004C0A26" w:rsidRPr="002208A3">
        <w:rPr>
          <w:rFonts w:ascii="Times New Roman" w:hAnsi="Times New Roman"/>
        </w:rPr>
        <w:t xml:space="preserve"> were recruited </w:t>
      </w:r>
      <w:r w:rsidR="00435D39">
        <w:rPr>
          <w:rFonts w:ascii="Times New Roman" w:hAnsi="Times New Roman"/>
        </w:rPr>
        <w:t xml:space="preserve">via </w:t>
      </w:r>
      <w:r w:rsidR="00091877">
        <w:rPr>
          <w:rFonts w:ascii="Times New Roman" w:hAnsi="Times New Roman"/>
        </w:rPr>
        <w:t xml:space="preserve">paper </w:t>
      </w:r>
      <w:r w:rsidR="00435D39">
        <w:rPr>
          <w:rFonts w:ascii="Times New Roman" w:hAnsi="Times New Roman"/>
        </w:rPr>
        <w:t xml:space="preserve">flyers and word of mouth </w:t>
      </w:r>
      <w:r w:rsidR="004C0A26" w:rsidRPr="002208A3">
        <w:rPr>
          <w:rFonts w:ascii="Times New Roman" w:hAnsi="Times New Roman"/>
        </w:rPr>
        <w:t xml:space="preserve">for a study on Interdependent Security Games. </w:t>
      </w:r>
      <w:r w:rsidR="00435D39">
        <w:rPr>
          <w:rFonts w:ascii="Times New Roman" w:hAnsi="Times New Roman"/>
        </w:rPr>
        <w:t>The study was open to the public</w:t>
      </w:r>
      <w:r w:rsidR="00404EF8">
        <w:rPr>
          <w:rFonts w:ascii="Times New Roman" w:hAnsi="Times New Roman"/>
        </w:rPr>
        <w:t xml:space="preserve"> for participation</w:t>
      </w:r>
      <w:r w:rsidR="00435D39">
        <w:rPr>
          <w:rFonts w:ascii="Times New Roman" w:hAnsi="Times New Roman"/>
        </w:rPr>
        <w:t>, but n</w:t>
      </w:r>
      <w:r w:rsidR="00435D39" w:rsidRPr="002208A3">
        <w:rPr>
          <w:rFonts w:ascii="Times New Roman" w:hAnsi="Times New Roman"/>
        </w:rPr>
        <w:t xml:space="preserve">early </w:t>
      </w:r>
      <w:r w:rsidR="004C0A26" w:rsidRPr="002208A3">
        <w:rPr>
          <w:rFonts w:ascii="Times New Roman" w:hAnsi="Times New Roman"/>
        </w:rPr>
        <w:t>all participants (9</w:t>
      </w:r>
      <w:r w:rsidR="00C06437">
        <w:rPr>
          <w:rFonts w:ascii="Times New Roman" w:hAnsi="Times New Roman"/>
        </w:rPr>
        <w:t>7</w:t>
      </w:r>
      <w:r w:rsidR="004C0A26" w:rsidRPr="002208A3">
        <w:rPr>
          <w:rFonts w:ascii="Times New Roman" w:hAnsi="Times New Roman"/>
        </w:rPr>
        <w:t xml:space="preserve">%) were students at </w:t>
      </w:r>
      <w:r w:rsidR="00245937">
        <w:rPr>
          <w:rFonts w:ascii="Times New Roman" w:hAnsi="Times New Roman"/>
        </w:rPr>
        <w:t>a</w:t>
      </w:r>
      <w:r w:rsidR="004D6DBE">
        <w:rPr>
          <w:rFonts w:ascii="Times New Roman" w:hAnsi="Times New Roman"/>
        </w:rPr>
        <w:t xml:space="preserve"> </w:t>
      </w:r>
      <w:r w:rsidR="00245937">
        <w:rPr>
          <w:rFonts w:ascii="Times New Roman" w:hAnsi="Times New Roman"/>
        </w:rPr>
        <w:t xml:space="preserve">North-American </w:t>
      </w:r>
      <w:r w:rsidR="004D6DBE">
        <w:rPr>
          <w:rFonts w:ascii="Times New Roman" w:hAnsi="Times New Roman"/>
        </w:rPr>
        <w:t>u</w:t>
      </w:r>
      <w:r w:rsidR="00245937">
        <w:rPr>
          <w:rFonts w:ascii="Times New Roman" w:hAnsi="Times New Roman"/>
        </w:rPr>
        <w:t>niversity</w:t>
      </w:r>
      <w:r w:rsidR="004C0A26" w:rsidRPr="002208A3">
        <w:rPr>
          <w:rFonts w:ascii="Times New Roman" w:hAnsi="Times New Roman"/>
        </w:rPr>
        <w:t xml:space="preserve">. </w:t>
      </w:r>
      <w:r w:rsidR="00F86E1A" w:rsidRPr="002208A3">
        <w:rPr>
          <w:rFonts w:ascii="Times New Roman" w:hAnsi="Times New Roman"/>
        </w:rPr>
        <w:t xml:space="preserve">Participants' compensation depended entirely on the outcome of the experiment, as described below. </w:t>
      </w:r>
      <w:r w:rsidR="00587208" w:rsidRPr="002208A3">
        <w:rPr>
          <w:rFonts w:ascii="Times New Roman" w:hAnsi="Times New Roman"/>
        </w:rPr>
        <w:t>Participants were told that while average payments were around $1</w:t>
      </w:r>
      <w:r w:rsidR="00587208">
        <w:rPr>
          <w:rFonts w:ascii="Times New Roman" w:hAnsi="Times New Roman"/>
        </w:rPr>
        <w:t>0</w:t>
      </w:r>
      <w:r w:rsidR="00587208" w:rsidRPr="002208A3">
        <w:rPr>
          <w:rFonts w:ascii="Times New Roman" w:hAnsi="Times New Roman"/>
        </w:rPr>
        <w:t xml:space="preserve">, it was theoretically possible (though unlikely) to finish with negative money, and if this </w:t>
      </w:r>
      <w:proofErr w:type="gramStart"/>
      <w:r w:rsidR="00587208" w:rsidRPr="002208A3">
        <w:rPr>
          <w:rFonts w:ascii="Times New Roman" w:hAnsi="Times New Roman"/>
        </w:rPr>
        <w:t>happened</w:t>
      </w:r>
      <w:proofErr w:type="gramEnd"/>
      <w:r w:rsidR="00587208" w:rsidRPr="002208A3">
        <w:rPr>
          <w:rFonts w:ascii="Times New Roman" w:hAnsi="Times New Roman"/>
        </w:rPr>
        <w:t xml:space="preserve"> they would have to stay after the study and complete additional surveys at the rate of 25 cents </w:t>
      </w:r>
      <w:r w:rsidR="00587208">
        <w:rPr>
          <w:rFonts w:ascii="Times New Roman" w:hAnsi="Times New Roman"/>
        </w:rPr>
        <w:t>per</w:t>
      </w:r>
      <w:r w:rsidR="00587208" w:rsidRPr="002208A3">
        <w:rPr>
          <w:rFonts w:ascii="Times New Roman" w:hAnsi="Times New Roman"/>
        </w:rPr>
        <w:t xml:space="preserve"> minute to pay back their debt</w:t>
      </w:r>
      <w:r w:rsidR="00587208">
        <w:rPr>
          <w:rFonts w:ascii="Times New Roman" w:hAnsi="Times New Roman"/>
        </w:rPr>
        <w:t xml:space="preserve">. (Across studies, this did indeed happen to a couple participants.) </w:t>
      </w:r>
    </w:p>
    <w:p w14:paraId="77012D1A" w14:textId="77777777" w:rsidR="003060C2" w:rsidRPr="002208A3" w:rsidRDefault="003060C2" w:rsidP="00AF2B85">
      <w:pPr>
        <w:spacing w:line="480" w:lineRule="auto"/>
        <w:rPr>
          <w:rFonts w:ascii="Times New Roman" w:hAnsi="Times New Roman"/>
        </w:rPr>
      </w:pPr>
    </w:p>
    <w:p w14:paraId="032C3E5A" w14:textId="77777777" w:rsidR="003060C2" w:rsidRPr="002208A3" w:rsidRDefault="003060C2" w:rsidP="00AF2B85">
      <w:pPr>
        <w:spacing w:line="480" w:lineRule="auto"/>
        <w:rPr>
          <w:rFonts w:ascii="Times New Roman" w:hAnsi="Times New Roman"/>
          <w:i/>
        </w:rPr>
      </w:pPr>
      <w:r w:rsidRPr="002208A3">
        <w:rPr>
          <w:rFonts w:ascii="Times New Roman" w:hAnsi="Times New Roman"/>
          <w:i/>
        </w:rPr>
        <w:t>Study 1: Design Overview</w:t>
      </w:r>
    </w:p>
    <w:p w14:paraId="5360B891" w14:textId="6A886BF3" w:rsidR="003060C2" w:rsidRPr="002208A3" w:rsidRDefault="003060C2" w:rsidP="00AF2B85">
      <w:pPr>
        <w:spacing w:line="480" w:lineRule="auto"/>
        <w:rPr>
          <w:rFonts w:ascii="Times New Roman" w:hAnsi="Times New Roman"/>
        </w:rPr>
      </w:pPr>
      <w:r w:rsidRPr="002208A3">
        <w:rPr>
          <w:rFonts w:ascii="Times New Roman" w:hAnsi="Times New Roman"/>
        </w:rPr>
        <w:lastRenderedPageBreak/>
        <w:t xml:space="preserve">In a between-subjects design, participants played </w:t>
      </w:r>
      <w:r w:rsidR="004B6A52" w:rsidRPr="002208A3">
        <w:rPr>
          <w:rFonts w:ascii="Times New Roman" w:hAnsi="Times New Roman"/>
        </w:rPr>
        <w:t>one of three versions of a social dilemma</w:t>
      </w:r>
      <w:r w:rsidR="007219E0" w:rsidRPr="002208A3">
        <w:rPr>
          <w:rFonts w:ascii="Times New Roman" w:hAnsi="Times New Roman"/>
        </w:rPr>
        <w:t xml:space="preserve"> game</w:t>
      </w:r>
      <w:r w:rsidR="004B6A52" w:rsidRPr="002208A3">
        <w:rPr>
          <w:rFonts w:ascii="Times New Roman" w:hAnsi="Times New Roman"/>
        </w:rPr>
        <w:t xml:space="preserve">: </w:t>
      </w:r>
      <w:r w:rsidRPr="002208A3">
        <w:rPr>
          <w:rFonts w:ascii="Times New Roman" w:hAnsi="Times New Roman"/>
        </w:rPr>
        <w:t xml:space="preserve">a deterministic prisoner's dilemma with repeated play (DPD-rep), a stochastic prisoner's dilemma with repeated play (SPD-rep), or a stochastic prisoner's dilemma with precommitted play (SPD-pre). </w:t>
      </w:r>
      <w:r w:rsidR="00141F58" w:rsidRPr="002208A3">
        <w:rPr>
          <w:rFonts w:ascii="Times New Roman" w:hAnsi="Times New Roman"/>
        </w:rPr>
        <w:t xml:space="preserve">Participants played </w:t>
      </w:r>
      <w:r w:rsidR="0090281E">
        <w:rPr>
          <w:rFonts w:ascii="Times New Roman" w:hAnsi="Times New Roman"/>
        </w:rPr>
        <w:t xml:space="preserve">a total of </w:t>
      </w:r>
      <w:r w:rsidR="00141F58" w:rsidRPr="002208A3">
        <w:rPr>
          <w:rFonts w:ascii="Times New Roman" w:hAnsi="Times New Roman"/>
        </w:rPr>
        <w:t>80 rounds</w:t>
      </w:r>
      <w:r w:rsidR="0090281E">
        <w:rPr>
          <w:rFonts w:ascii="Times New Roman" w:hAnsi="Times New Roman"/>
        </w:rPr>
        <w:t xml:space="preserve"> in the game</w:t>
      </w:r>
      <w:r w:rsidR="00141F58" w:rsidRPr="002208A3">
        <w:rPr>
          <w:rFonts w:ascii="Times New Roman" w:hAnsi="Times New Roman"/>
        </w:rPr>
        <w:t xml:space="preserve">, broken down into 4 blocks of 20. </w:t>
      </w:r>
      <w:r w:rsidR="00EF6AAD" w:rsidRPr="002208A3">
        <w:rPr>
          <w:rFonts w:ascii="Times New Roman" w:hAnsi="Times New Roman"/>
        </w:rPr>
        <w:t>Participants</w:t>
      </w:r>
      <w:r w:rsidR="00141F58" w:rsidRPr="002208A3">
        <w:rPr>
          <w:rFonts w:ascii="Times New Roman" w:hAnsi="Times New Roman"/>
        </w:rPr>
        <w:t xml:space="preserve"> were randomly assigned a counterpart for each block,</w:t>
      </w:r>
      <w:r w:rsidR="00C06437" w:rsidRPr="002208A3">
        <w:rPr>
          <w:rFonts w:ascii="Times New Roman" w:hAnsi="Times New Roman"/>
        </w:rPr>
        <w:t xml:space="preserve"> </w:t>
      </w:r>
      <w:r w:rsidR="00141F58" w:rsidRPr="002208A3">
        <w:rPr>
          <w:rFonts w:ascii="Times New Roman" w:hAnsi="Times New Roman"/>
        </w:rPr>
        <w:t>and one block was randomly selected and paid out for real money</w:t>
      </w:r>
      <w:r w:rsidR="00EF6AAD" w:rsidRPr="002208A3">
        <w:rPr>
          <w:rFonts w:ascii="Times New Roman" w:hAnsi="Times New Roman"/>
        </w:rPr>
        <w:t xml:space="preserve"> at the end of the study</w:t>
      </w:r>
      <w:r w:rsidR="00141F58" w:rsidRPr="002208A3">
        <w:rPr>
          <w:rFonts w:ascii="Times New Roman" w:hAnsi="Times New Roman"/>
        </w:rPr>
        <w:t xml:space="preserve">. </w:t>
      </w:r>
      <w:r w:rsidR="00160350" w:rsidRPr="002208A3">
        <w:rPr>
          <w:rFonts w:ascii="Times New Roman" w:hAnsi="Times New Roman"/>
        </w:rPr>
        <w:t xml:space="preserve"> </w:t>
      </w:r>
      <w:r w:rsidR="00C06437" w:rsidRPr="00C06437">
        <w:rPr>
          <w:rFonts w:ascii="Times New Roman" w:hAnsi="Times New Roman"/>
        </w:rPr>
        <w:t xml:space="preserve">Participants </w:t>
      </w:r>
      <w:r w:rsidR="00C06437">
        <w:rPr>
          <w:rFonts w:ascii="Times New Roman" w:hAnsi="Times New Roman"/>
        </w:rPr>
        <w:t xml:space="preserve">were seated at separate computers in a large room, but otherwise </w:t>
      </w:r>
      <w:r w:rsidR="00C06437" w:rsidRPr="00C06437">
        <w:rPr>
          <w:rFonts w:ascii="Times New Roman" w:hAnsi="Times New Roman"/>
        </w:rPr>
        <w:t>had no way to know the identity (i.e., not even an ID number) of their counterpart.</w:t>
      </w:r>
    </w:p>
    <w:p w14:paraId="40958385" w14:textId="77777777" w:rsidR="003060C2" w:rsidRPr="002208A3" w:rsidRDefault="003060C2" w:rsidP="00AF2B85">
      <w:pPr>
        <w:spacing w:line="480" w:lineRule="auto"/>
        <w:rPr>
          <w:rFonts w:ascii="Times New Roman" w:hAnsi="Times New Roman"/>
        </w:rPr>
      </w:pPr>
    </w:p>
    <w:p w14:paraId="42E364ED" w14:textId="77777777" w:rsidR="00757FC9" w:rsidRPr="002208A3" w:rsidRDefault="005048A4" w:rsidP="00AF2B85">
      <w:pPr>
        <w:spacing w:line="480" w:lineRule="auto"/>
        <w:rPr>
          <w:rFonts w:ascii="Times New Roman" w:hAnsi="Times New Roman"/>
          <w:i/>
        </w:rPr>
      </w:pPr>
      <w:r w:rsidRPr="002208A3">
        <w:rPr>
          <w:rFonts w:ascii="Times New Roman" w:hAnsi="Times New Roman"/>
          <w:i/>
        </w:rPr>
        <w:t xml:space="preserve">Study 1: </w:t>
      </w:r>
      <w:r w:rsidR="00BF22FD" w:rsidRPr="002208A3">
        <w:rPr>
          <w:rFonts w:ascii="Times New Roman" w:hAnsi="Times New Roman"/>
          <w:i/>
        </w:rPr>
        <w:t>Methods</w:t>
      </w:r>
    </w:p>
    <w:p w14:paraId="28A3A93F" w14:textId="3D95D9A2" w:rsidR="00CD42C0" w:rsidRPr="002208A3" w:rsidRDefault="00CD42C0" w:rsidP="00AF2B85">
      <w:pPr>
        <w:spacing w:line="480" w:lineRule="auto"/>
        <w:rPr>
          <w:rFonts w:ascii="Times New Roman" w:hAnsi="Times New Roman"/>
        </w:rPr>
      </w:pPr>
      <w:r w:rsidRPr="002208A3">
        <w:rPr>
          <w:rFonts w:ascii="Times New Roman" w:hAnsi="Times New Roman"/>
        </w:rPr>
        <w:tab/>
      </w:r>
      <w:r w:rsidR="00A42A49" w:rsidRPr="002208A3">
        <w:rPr>
          <w:rFonts w:ascii="Times New Roman" w:hAnsi="Times New Roman"/>
        </w:rPr>
        <w:t>The study materials</w:t>
      </w:r>
      <w:r w:rsidRPr="002208A3">
        <w:rPr>
          <w:rFonts w:ascii="Times New Roman" w:hAnsi="Times New Roman"/>
        </w:rPr>
        <w:t xml:space="preserve"> </w:t>
      </w:r>
      <w:r w:rsidR="00A42A49" w:rsidRPr="002208A3">
        <w:rPr>
          <w:rFonts w:ascii="Times New Roman" w:hAnsi="Times New Roman"/>
        </w:rPr>
        <w:t>(</w:t>
      </w:r>
      <w:r w:rsidRPr="002208A3">
        <w:rPr>
          <w:rFonts w:ascii="Times New Roman" w:hAnsi="Times New Roman"/>
        </w:rPr>
        <w:t>the complete text</w:t>
      </w:r>
      <w:r w:rsidR="00A02261" w:rsidRPr="002208A3">
        <w:rPr>
          <w:rFonts w:ascii="Times New Roman" w:hAnsi="Times New Roman"/>
        </w:rPr>
        <w:t>s</w:t>
      </w:r>
      <w:r w:rsidRPr="002208A3">
        <w:rPr>
          <w:rFonts w:ascii="Times New Roman" w:hAnsi="Times New Roman"/>
        </w:rPr>
        <w:t xml:space="preserve"> of which can be found in </w:t>
      </w:r>
      <w:r w:rsidR="007824CA" w:rsidRPr="002208A3">
        <w:rPr>
          <w:rFonts w:ascii="Times New Roman" w:hAnsi="Times New Roman"/>
        </w:rPr>
        <w:t>the appendices</w:t>
      </w:r>
      <w:r w:rsidR="00A42A49" w:rsidRPr="002208A3">
        <w:rPr>
          <w:rFonts w:ascii="Times New Roman" w:hAnsi="Times New Roman"/>
        </w:rPr>
        <w:t>)</w:t>
      </w:r>
      <w:r w:rsidRPr="002208A3">
        <w:rPr>
          <w:rFonts w:ascii="Times New Roman" w:hAnsi="Times New Roman"/>
        </w:rPr>
        <w:t xml:space="preserve">, were modeled after </w:t>
      </w:r>
      <w:proofErr w:type="spellStart"/>
      <w:r w:rsidRPr="002208A3">
        <w:rPr>
          <w:rFonts w:ascii="Times New Roman" w:hAnsi="Times New Roman"/>
        </w:rPr>
        <w:t>Kunreuther</w:t>
      </w:r>
      <w:proofErr w:type="spellEnd"/>
      <w:r w:rsidRPr="002208A3">
        <w:rPr>
          <w:rFonts w:ascii="Times New Roman" w:hAnsi="Times New Roman"/>
        </w:rPr>
        <w:t xml:space="preserve"> et al </w:t>
      </w:r>
      <w:r w:rsidR="00720D24">
        <w:rPr>
          <w:rFonts w:ascii="Times New Roman" w:hAnsi="Times New Roman"/>
        </w:rPr>
        <w:fldChar w:fldCharType="begin" w:fldLock="1"/>
      </w:r>
      <w:r w:rsidR="005B1C17">
        <w:rPr>
          <w:rFonts w:ascii="Times New Roman" w:hAnsi="Times New Roman"/>
        </w:rPr>
        <w:instrText>ADDIN CSL_CITATION {"citationItems":[{"id":"ITEM-1","itemData":{"author":[{"dropping-particle":"","family":"Kunreuther","given":"Howard","non-dropping-particle":"","parse-names":false,"suffix":""},{"dropping-particle":"","family":"Silvasi","given":"Gabriel","non-dropping-particle":"","parse-names":false,"suffix":""},{"dropping-particle":"","family":"Bradlow","given":"Eric","non-dropping-particle":"","parse-names":false,"suffix":""},{"dropping-particle":"","family":"Small","given":"Dylan","non-dropping-particle":"","parse-names":false,"suffix":""}],"container-title":"Judgment and Decision Making","id":"ITEM-1","issue":"5","issued":{"date-parts":[["2009"]]},"page":"363","title":"Bayesian analysis of deterministic and stochastic prisoner's dilemma games","type":"article-journal","volume":"4"},"uris":["http://www.mendeley.com/documents/?uuid=9fa45453-4136-4e5b-987c-c266d4ff8013"]}],"mendeley":{"formattedCitation":"(Kunreuther et al., 2009)","manualFormatting":"(2009)","plainTextFormattedCitation":"(Kunreuther et al., 2009)","previouslyFormattedCitation":"(Kunreuther et al. 2009)"},"properties":{"noteIndex":0},"schema":"https://github.com/citation-style-language/schema/raw/master/csl-citation.json"}</w:instrText>
      </w:r>
      <w:r w:rsidR="00720D24">
        <w:rPr>
          <w:rFonts w:ascii="Times New Roman" w:hAnsi="Times New Roman"/>
        </w:rPr>
        <w:fldChar w:fldCharType="separate"/>
      </w:r>
      <w:r w:rsidR="00720D24" w:rsidRPr="00720D24">
        <w:rPr>
          <w:rFonts w:ascii="Times New Roman" w:hAnsi="Times New Roman"/>
          <w:noProof/>
        </w:rPr>
        <w:t>(2009)</w:t>
      </w:r>
      <w:r w:rsidR="00720D24">
        <w:rPr>
          <w:rFonts w:ascii="Times New Roman" w:hAnsi="Times New Roman"/>
        </w:rPr>
        <w:fldChar w:fldCharType="end"/>
      </w:r>
      <w:r w:rsidRPr="002208A3">
        <w:rPr>
          <w:rFonts w:ascii="Times New Roman" w:hAnsi="Times New Roman"/>
        </w:rPr>
        <w:t xml:space="preserve"> and Gong et al. </w:t>
      </w:r>
      <w:r w:rsidR="00720D24">
        <w:rPr>
          <w:rFonts w:ascii="Times New Roman" w:hAnsi="Times New Roman"/>
        </w:rPr>
        <w:fldChar w:fldCharType="begin" w:fldLock="1"/>
      </w:r>
      <w:r w:rsidR="005B1C17">
        <w:rPr>
          <w:rFonts w:ascii="Times New Roman" w:hAnsi="Times New Roman"/>
        </w:rPr>
        <w:instrText>ADDIN CSL_CITATION {"citationItems":[{"id":"ITEM-1","itemData":{"ISSN":"0895-5646","author":[{"dropping-particle":"","family":"Gong","given":"Min","non-dropping-particle":"","parse-names":false,"suffix":""},{"dropping-particle":"","family":"Baron","given":"Jonathan","non-dropping-particle":"","parse-names":false,"suffix":""},{"dropping-particle":"","family":"Kunreuther","given":"Howard","non-dropping-particle":"","parse-names":false,"suffix":""}],"container-title":"Journal of Risk and Uncertainty","id":"ITEM-1","issue":"3","issued":{"date-parts":[["2009"]]},"page":"251","publisher":"Springer","title":"Group cooperation under uncertainty","type":"article-journal","volume":"39"},"uris":["http://www.mendeley.com/documents/?uuid=1579dd97-553f-42ba-af93-0797c7c520f5"]}],"mendeley":{"formattedCitation":"(Gong et al., 2009)","manualFormatting":"(2009)","plainTextFormattedCitation":"(Gong et al., 2009)","previouslyFormattedCitation":"(Gong et al. 2009)"},"properties":{"noteIndex":0},"schema":"https://github.com/citation-style-language/schema/raw/master/csl-citation.json"}</w:instrText>
      </w:r>
      <w:r w:rsidR="00720D24">
        <w:rPr>
          <w:rFonts w:ascii="Times New Roman" w:hAnsi="Times New Roman"/>
        </w:rPr>
        <w:fldChar w:fldCharType="separate"/>
      </w:r>
      <w:r w:rsidR="00720D24" w:rsidRPr="00720D24">
        <w:rPr>
          <w:rFonts w:ascii="Times New Roman" w:hAnsi="Times New Roman"/>
          <w:noProof/>
        </w:rPr>
        <w:t>(2009)</w:t>
      </w:r>
      <w:r w:rsidR="00720D24">
        <w:rPr>
          <w:rFonts w:ascii="Times New Roman" w:hAnsi="Times New Roman"/>
        </w:rPr>
        <w:fldChar w:fldCharType="end"/>
      </w:r>
      <w:r w:rsidR="00720D24">
        <w:rPr>
          <w:rFonts w:ascii="Times New Roman" w:hAnsi="Times New Roman"/>
        </w:rPr>
        <w:t xml:space="preserve">. </w:t>
      </w:r>
      <w:r w:rsidR="00024B47" w:rsidRPr="002208A3">
        <w:rPr>
          <w:rFonts w:ascii="Times New Roman" w:hAnsi="Times New Roman"/>
        </w:rPr>
        <w:t xml:space="preserve">Similar to previous studies, </w:t>
      </w:r>
      <w:r w:rsidR="001760E9">
        <w:rPr>
          <w:rFonts w:ascii="Times New Roman" w:hAnsi="Times New Roman"/>
        </w:rPr>
        <w:t>the game</w:t>
      </w:r>
      <w:r w:rsidR="001760E9" w:rsidRPr="002208A3">
        <w:rPr>
          <w:rFonts w:ascii="Times New Roman" w:hAnsi="Times New Roman"/>
        </w:rPr>
        <w:t xml:space="preserve"> </w:t>
      </w:r>
      <w:r w:rsidR="00024B47" w:rsidRPr="002208A3">
        <w:rPr>
          <w:rFonts w:ascii="Times New Roman" w:hAnsi="Times New Roman"/>
        </w:rPr>
        <w:t>used an experimental currency, the Indonesian Rupiah (Rp)</w:t>
      </w:r>
      <w:r w:rsidR="004F6E33" w:rsidRPr="002208A3">
        <w:rPr>
          <w:rFonts w:ascii="Times New Roman" w:hAnsi="Times New Roman"/>
        </w:rPr>
        <w:t xml:space="preserve">; </w:t>
      </w:r>
      <w:r w:rsidR="00A11A96" w:rsidRPr="002208A3">
        <w:rPr>
          <w:rFonts w:ascii="Times New Roman" w:hAnsi="Times New Roman"/>
        </w:rPr>
        <w:t xml:space="preserve">this is done because </w:t>
      </w:r>
      <w:r w:rsidR="004F6E33" w:rsidRPr="002208A3">
        <w:rPr>
          <w:rFonts w:ascii="Times New Roman" w:hAnsi="Times New Roman"/>
        </w:rPr>
        <w:t>l</w:t>
      </w:r>
      <w:r w:rsidR="007A7DC4" w:rsidRPr="002208A3">
        <w:rPr>
          <w:rFonts w:ascii="Times New Roman" w:hAnsi="Times New Roman"/>
        </w:rPr>
        <w:t xml:space="preserve">arger numeric values have been found to motivate participants </w:t>
      </w:r>
      <w:r w:rsidR="003B5365" w:rsidRPr="002208A3">
        <w:rPr>
          <w:rFonts w:ascii="Times New Roman" w:hAnsi="Times New Roman"/>
        </w:rPr>
        <w:t xml:space="preserve">in social dilemmas </w:t>
      </w:r>
      <w:r w:rsidR="007A7DC4" w:rsidRPr="002208A3">
        <w:rPr>
          <w:rFonts w:ascii="Times New Roman" w:hAnsi="Times New Roman"/>
        </w:rPr>
        <w:t>even if objective value</w:t>
      </w:r>
      <w:r w:rsidR="00A11A96" w:rsidRPr="002208A3">
        <w:rPr>
          <w:rFonts w:ascii="Times New Roman" w:hAnsi="Times New Roman"/>
        </w:rPr>
        <w:t>s</w:t>
      </w:r>
      <w:r w:rsidR="007A7DC4" w:rsidRPr="002208A3">
        <w:rPr>
          <w:rFonts w:ascii="Times New Roman" w:hAnsi="Times New Roman"/>
        </w:rPr>
        <w:t xml:space="preserve"> </w:t>
      </w:r>
      <w:r w:rsidR="00A11A96" w:rsidRPr="002208A3">
        <w:rPr>
          <w:rFonts w:ascii="Times New Roman" w:hAnsi="Times New Roman"/>
        </w:rPr>
        <w:t>remain unchanged</w:t>
      </w:r>
      <w:r w:rsidR="00720D24">
        <w:rPr>
          <w:rFonts w:ascii="Times New Roman" w:hAnsi="Times New Roman"/>
        </w:rPr>
        <w:t xml:space="preserve"> </w:t>
      </w:r>
      <w:r w:rsidR="00720D24">
        <w:rPr>
          <w:rFonts w:ascii="Times New Roman" w:hAnsi="Times New Roman"/>
        </w:rPr>
        <w:fldChar w:fldCharType="begin" w:fldLock="1"/>
      </w:r>
      <w:r w:rsidR="005B1C17">
        <w:rPr>
          <w:rFonts w:ascii="Times New Roman" w:hAnsi="Times New Roman"/>
        </w:rPr>
        <w:instrText>ADDIN CSL_CITATION {"citationItems":[{"id":"ITEM-1","itemData":{"ISSN":"0956-7976","author":[{"dropping-particle":"","family":"Furlong","given":"Ellen E","non-dropping-particle":"","parse-names":false,"suffix":""},{"dropping-particle":"","family":"Opfer","given":"John E","non-dropping-particle":"","parse-names":false,"suffix":""}],"container-title":"Psychological Science","id":"ITEM-1","issue":"1","issued":{"date-parts":[["2009"]]},"page":"11-16","publisher":"SAGE Publications Sage CA: Los Angeles, CA","title":"Cognitive constraints on how economic rewards affect cooperation","type":"article-journal","volume":"20"},"uris":["http://www.mendeley.com/documents/?uuid=40fc6133-f1a0-4a18-8454-d554950e0be3"]}],"mendeley":{"formattedCitation":"(Furlong &amp; Opfer, 2009)","plainTextFormattedCitation":"(Furlong &amp; Opfer, 2009)","previouslyFormattedCitation":"(Furlong and Opfer 2009)"},"properties":{"noteIndex":0},"schema":"https://github.com/citation-style-language/schema/raw/master/csl-citation.json"}</w:instrText>
      </w:r>
      <w:r w:rsidR="00720D24">
        <w:rPr>
          <w:rFonts w:ascii="Times New Roman" w:hAnsi="Times New Roman"/>
        </w:rPr>
        <w:fldChar w:fldCharType="separate"/>
      </w:r>
      <w:r w:rsidR="005B1C17" w:rsidRPr="005B1C17">
        <w:rPr>
          <w:rFonts w:ascii="Times New Roman" w:hAnsi="Times New Roman"/>
          <w:noProof/>
        </w:rPr>
        <w:t>(Furlong &amp; Opfer, 2009)</w:t>
      </w:r>
      <w:r w:rsidR="00720D24">
        <w:rPr>
          <w:rFonts w:ascii="Times New Roman" w:hAnsi="Times New Roman"/>
        </w:rPr>
        <w:fldChar w:fldCharType="end"/>
      </w:r>
      <w:r w:rsidR="003B5365" w:rsidRPr="002208A3">
        <w:rPr>
          <w:rFonts w:ascii="Times New Roman" w:hAnsi="Times New Roman"/>
        </w:rPr>
        <w:t>. At the end of the study, Rp were converted to dollars at the rate of 9,673 Rp = $1</w:t>
      </w:r>
      <w:r w:rsidR="0097465F">
        <w:rPr>
          <w:rFonts w:ascii="Times New Roman" w:hAnsi="Times New Roman"/>
        </w:rPr>
        <w:t xml:space="preserve"> USD</w:t>
      </w:r>
      <w:r w:rsidR="003B5365" w:rsidRPr="002208A3">
        <w:rPr>
          <w:rFonts w:ascii="Times New Roman" w:hAnsi="Times New Roman"/>
        </w:rPr>
        <w:t xml:space="preserve">, which was the actual exchange rate at the time the study was designed. </w:t>
      </w:r>
    </w:p>
    <w:p w14:paraId="29A0A4DD" w14:textId="63B7BE08" w:rsidR="00D9296A" w:rsidRPr="002208A3" w:rsidRDefault="00CD42C0" w:rsidP="00AF2B85">
      <w:pPr>
        <w:spacing w:line="480" w:lineRule="auto"/>
        <w:rPr>
          <w:rFonts w:ascii="Times New Roman" w:hAnsi="Times New Roman"/>
        </w:rPr>
      </w:pPr>
      <w:r w:rsidRPr="002208A3">
        <w:rPr>
          <w:rFonts w:ascii="Times New Roman" w:hAnsi="Times New Roman"/>
        </w:rPr>
        <w:tab/>
      </w:r>
      <w:r w:rsidR="003C1AEA" w:rsidRPr="002208A3">
        <w:rPr>
          <w:rFonts w:ascii="Times New Roman" w:hAnsi="Times New Roman"/>
        </w:rPr>
        <w:t>Experimental sessions were</w:t>
      </w:r>
      <w:r w:rsidR="005048A4" w:rsidRPr="002208A3">
        <w:rPr>
          <w:rFonts w:ascii="Times New Roman" w:hAnsi="Times New Roman"/>
        </w:rPr>
        <w:t xml:space="preserve"> run </w:t>
      </w:r>
      <w:r w:rsidR="00E66B00" w:rsidRPr="002208A3">
        <w:rPr>
          <w:rFonts w:ascii="Times New Roman" w:hAnsi="Times New Roman"/>
        </w:rPr>
        <w:t>in</w:t>
      </w:r>
      <w:r w:rsidR="005048A4" w:rsidRPr="002208A3">
        <w:rPr>
          <w:rFonts w:ascii="Times New Roman" w:hAnsi="Times New Roman"/>
        </w:rPr>
        <w:t xml:space="preserve"> </w:t>
      </w:r>
      <w:r w:rsidR="003C1AEA" w:rsidRPr="002208A3">
        <w:rPr>
          <w:rFonts w:ascii="Times New Roman" w:hAnsi="Times New Roman"/>
        </w:rPr>
        <w:t xml:space="preserve">groups of 4 </w:t>
      </w:r>
      <w:r w:rsidR="00C54D76">
        <w:rPr>
          <w:rFonts w:ascii="Times New Roman" w:hAnsi="Times New Roman"/>
        </w:rPr>
        <w:t>to</w:t>
      </w:r>
      <w:r w:rsidR="007B4723">
        <w:rPr>
          <w:rFonts w:ascii="Times New Roman" w:hAnsi="Times New Roman"/>
        </w:rPr>
        <w:t xml:space="preserve"> 6</w:t>
      </w:r>
      <w:r w:rsidR="003C1AEA" w:rsidRPr="002208A3">
        <w:rPr>
          <w:rFonts w:ascii="Times New Roman" w:hAnsi="Times New Roman"/>
        </w:rPr>
        <w:t xml:space="preserve"> participants (mean</w:t>
      </w:r>
      <w:r w:rsidR="005B76B9">
        <w:rPr>
          <w:rFonts w:ascii="Times New Roman" w:hAnsi="Times New Roman"/>
        </w:rPr>
        <w:t xml:space="preserve"> =</w:t>
      </w:r>
      <w:r w:rsidR="003C1AEA" w:rsidRPr="002208A3">
        <w:rPr>
          <w:rFonts w:ascii="Times New Roman" w:hAnsi="Times New Roman"/>
        </w:rPr>
        <w:t xml:space="preserve"> 5.</w:t>
      </w:r>
      <w:r w:rsidR="007B4723">
        <w:rPr>
          <w:rFonts w:ascii="Times New Roman" w:hAnsi="Times New Roman"/>
        </w:rPr>
        <w:t>00</w:t>
      </w:r>
      <w:r w:rsidR="003C1AEA" w:rsidRPr="002208A3">
        <w:rPr>
          <w:rFonts w:ascii="Times New Roman" w:hAnsi="Times New Roman"/>
        </w:rPr>
        <w:t xml:space="preserve">). Each participant was seated at a computer and instructed not to communicate with any of the other participants. </w:t>
      </w:r>
      <w:r w:rsidR="000B0AC0" w:rsidRPr="002208A3">
        <w:rPr>
          <w:rFonts w:ascii="Times New Roman" w:hAnsi="Times New Roman"/>
        </w:rPr>
        <w:t>After agreeing to the consent form</w:t>
      </w:r>
      <w:r w:rsidR="00FE2C27" w:rsidRPr="002208A3">
        <w:rPr>
          <w:rFonts w:ascii="Times New Roman" w:hAnsi="Times New Roman"/>
        </w:rPr>
        <w:t xml:space="preserve"> (which stated the average payout would be around $15)</w:t>
      </w:r>
      <w:r w:rsidR="000B0AC0" w:rsidRPr="002208A3">
        <w:rPr>
          <w:rFonts w:ascii="Times New Roman" w:hAnsi="Times New Roman"/>
        </w:rPr>
        <w:t>, participants rea</w:t>
      </w:r>
      <w:r w:rsidR="00A00642" w:rsidRPr="002208A3">
        <w:rPr>
          <w:rFonts w:ascii="Times New Roman" w:hAnsi="Times New Roman"/>
        </w:rPr>
        <w:t xml:space="preserve">d </w:t>
      </w:r>
      <w:r w:rsidR="0090281E">
        <w:rPr>
          <w:rFonts w:ascii="Times New Roman" w:hAnsi="Times New Roman"/>
        </w:rPr>
        <w:t>five</w:t>
      </w:r>
      <w:r w:rsidR="0090281E" w:rsidRPr="002208A3">
        <w:rPr>
          <w:rFonts w:ascii="Times New Roman" w:hAnsi="Times New Roman"/>
        </w:rPr>
        <w:t xml:space="preserve"> </w:t>
      </w:r>
      <w:r w:rsidR="00A00642" w:rsidRPr="002208A3">
        <w:rPr>
          <w:rFonts w:ascii="Times New Roman" w:hAnsi="Times New Roman"/>
        </w:rPr>
        <w:t>pages of instructions</w:t>
      </w:r>
      <w:r w:rsidR="0090281E">
        <w:rPr>
          <w:rFonts w:ascii="Times New Roman" w:hAnsi="Times New Roman"/>
        </w:rPr>
        <w:t xml:space="preserve"> on the computer</w:t>
      </w:r>
      <w:r w:rsidR="00A00642" w:rsidRPr="002208A3">
        <w:rPr>
          <w:rFonts w:ascii="Times New Roman" w:hAnsi="Times New Roman"/>
        </w:rPr>
        <w:t xml:space="preserve">. They </w:t>
      </w:r>
      <w:r w:rsidR="00024B47" w:rsidRPr="002208A3">
        <w:rPr>
          <w:rFonts w:ascii="Times New Roman" w:hAnsi="Times New Roman"/>
        </w:rPr>
        <w:t>learned</w:t>
      </w:r>
      <w:r w:rsidR="000B0AC0" w:rsidRPr="002208A3">
        <w:rPr>
          <w:rFonts w:ascii="Times New Roman" w:hAnsi="Times New Roman"/>
        </w:rPr>
        <w:t xml:space="preserve"> that they would play a scenario in which </w:t>
      </w:r>
      <w:r w:rsidR="00A00642" w:rsidRPr="002208A3">
        <w:rPr>
          <w:rFonts w:ascii="Times New Roman" w:hAnsi="Times New Roman"/>
        </w:rPr>
        <w:t>their payment</w:t>
      </w:r>
      <w:r w:rsidR="000B0AC0" w:rsidRPr="002208A3">
        <w:rPr>
          <w:rFonts w:ascii="Times New Roman" w:hAnsi="Times New Roman"/>
        </w:rPr>
        <w:t xml:space="preserve"> </w:t>
      </w:r>
      <w:r w:rsidR="00024B47" w:rsidRPr="002208A3">
        <w:rPr>
          <w:rFonts w:ascii="Times New Roman" w:hAnsi="Times New Roman"/>
        </w:rPr>
        <w:t xml:space="preserve">would </w:t>
      </w:r>
      <w:r w:rsidR="00024B47" w:rsidRPr="002208A3">
        <w:rPr>
          <w:rFonts w:ascii="Times New Roman" w:hAnsi="Times New Roman"/>
        </w:rPr>
        <w:lastRenderedPageBreak/>
        <w:t>depend</w:t>
      </w:r>
      <w:r w:rsidR="000B0AC0" w:rsidRPr="002208A3">
        <w:rPr>
          <w:rFonts w:ascii="Times New Roman" w:hAnsi="Times New Roman"/>
        </w:rPr>
        <w:t xml:space="preserve"> on their choices as </w:t>
      </w:r>
      <w:r w:rsidR="00A00642" w:rsidRPr="002208A3">
        <w:rPr>
          <w:rFonts w:ascii="Times New Roman" w:hAnsi="Times New Roman"/>
        </w:rPr>
        <w:t xml:space="preserve">well as </w:t>
      </w:r>
      <w:r w:rsidR="000B0AC0" w:rsidRPr="002208A3">
        <w:rPr>
          <w:rFonts w:ascii="Times New Roman" w:hAnsi="Times New Roman"/>
        </w:rPr>
        <w:t xml:space="preserve">those of </w:t>
      </w:r>
      <w:r w:rsidR="00A00642" w:rsidRPr="002208A3">
        <w:rPr>
          <w:rFonts w:ascii="Times New Roman" w:hAnsi="Times New Roman"/>
        </w:rPr>
        <w:t>a</w:t>
      </w:r>
      <w:r w:rsidR="000B0AC0" w:rsidRPr="002208A3">
        <w:rPr>
          <w:rFonts w:ascii="Times New Roman" w:hAnsi="Times New Roman"/>
        </w:rPr>
        <w:t xml:space="preserve"> counterpart. </w:t>
      </w:r>
      <w:r w:rsidR="00A00642" w:rsidRPr="002208A3">
        <w:rPr>
          <w:rFonts w:ascii="Times New Roman" w:hAnsi="Times New Roman"/>
        </w:rPr>
        <w:t xml:space="preserve">They were told to imagine they were a farmer in Indonesia. </w:t>
      </w:r>
      <w:r w:rsidR="000B0AC0" w:rsidRPr="002208A3">
        <w:rPr>
          <w:rFonts w:ascii="Times New Roman" w:hAnsi="Times New Roman"/>
        </w:rPr>
        <w:t xml:space="preserve">Each </w:t>
      </w:r>
      <w:r w:rsidR="00BB27B4" w:rsidRPr="002208A3">
        <w:rPr>
          <w:rFonts w:ascii="Times New Roman" w:hAnsi="Times New Roman"/>
        </w:rPr>
        <w:t>"year"</w:t>
      </w:r>
      <w:r w:rsidR="00173C6B" w:rsidRPr="002208A3">
        <w:rPr>
          <w:rFonts w:ascii="Times New Roman" w:hAnsi="Times New Roman"/>
        </w:rPr>
        <w:t xml:space="preserve"> (</w:t>
      </w:r>
      <w:r w:rsidR="00BB27B4" w:rsidRPr="002208A3">
        <w:rPr>
          <w:rFonts w:ascii="Times New Roman" w:hAnsi="Times New Roman"/>
        </w:rPr>
        <w:t>i</w:t>
      </w:r>
      <w:r w:rsidR="0090281E">
        <w:rPr>
          <w:rFonts w:ascii="Times New Roman" w:hAnsi="Times New Roman"/>
        </w:rPr>
        <w:t>.</w:t>
      </w:r>
      <w:r w:rsidR="00BB27B4" w:rsidRPr="002208A3">
        <w:rPr>
          <w:rFonts w:ascii="Times New Roman" w:hAnsi="Times New Roman"/>
        </w:rPr>
        <w:t>e</w:t>
      </w:r>
      <w:r w:rsidR="0090281E">
        <w:rPr>
          <w:rFonts w:ascii="Times New Roman" w:hAnsi="Times New Roman"/>
        </w:rPr>
        <w:t>.</w:t>
      </w:r>
      <w:r w:rsidR="00BB27B4" w:rsidRPr="002208A3">
        <w:rPr>
          <w:rFonts w:ascii="Times New Roman" w:hAnsi="Times New Roman"/>
        </w:rPr>
        <w:t>, game round</w:t>
      </w:r>
      <w:r w:rsidR="00173C6B" w:rsidRPr="002208A3">
        <w:rPr>
          <w:rFonts w:ascii="Times New Roman" w:hAnsi="Times New Roman"/>
        </w:rPr>
        <w:t>)</w:t>
      </w:r>
      <w:r w:rsidR="000B0AC0" w:rsidRPr="002208A3">
        <w:rPr>
          <w:rFonts w:ascii="Times New Roman" w:hAnsi="Times New Roman"/>
        </w:rPr>
        <w:t xml:space="preserve">, they would earn 8,500 </w:t>
      </w:r>
      <w:r w:rsidR="00024B47" w:rsidRPr="002208A3">
        <w:rPr>
          <w:rFonts w:ascii="Times New Roman" w:hAnsi="Times New Roman"/>
        </w:rPr>
        <w:t>Rp</w:t>
      </w:r>
      <w:r w:rsidR="00A00642" w:rsidRPr="002208A3">
        <w:rPr>
          <w:rFonts w:ascii="Times New Roman" w:hAnsi="Times New Roman"/>
        </w:rPr>
        <w:t xml:space="preserve"> from their potato crop. </w:t>
      </w:r>
      <w:r w:rsidR="00173C6B" w:rsidRPr="002208A3">
        <w:rPr>
          <w:rFonts w:ascii="Times New Roman" w:hAnsi="Times New Roman"/>
        </w:rPr>
        <w:t xml:space="preserve">However, they had to use a pesticide, which caused </w:t>
      </w:r>
      <w:r w:rsidR="00BB27B4" w:rsidRPr="002208A3">
        <w:rPr>
          <w:rFonts w:ascii="Times New Roman" w:hAnsi="Times New Roman"/>
        </w:rPr>
        <w:t xml:space="preserve">groundwater contamination, also affecting their counterpart. </w:t>
      </w:r>
      <w:r w:rsidR="00D9296A" w:rsidRPr="002208A3">
        <w:rPr>
          <w:rFonts w:ascii="Times New Roman" w:hAnsi="Times New Roman"/>
        </w:rPr>
        <w:t xml:space="preserve">In the DPD conditions, the pesticide caused a certain, moderate loss each year, while in the SPD conditions, pesticide had a low (4% or lower) probability of causing a large loss. </w:t>
      </w:r>
    </w:p>
    <w:p w14:paraId="12E176FF" w14:textId="1B021931" w:rsidR="00B96FE1" w:rsidRPr="002208A3" w:rsidRDefault="00D9296A" w:rsidP="00AF2B85">
      <w:pPr>
        <w:spacing w:line="480" w:lineRule="auto"/>
        <w:rPr>
          <w:rFonts w:ascii="Times New Roman" w:hAnsi="Times New Roman"/>
        </w:rPr>
      </w:pPr>
      <w:r w:rsidRPr="002208A3">
        <w:rPr>
          <w:rFonts w:ascii="Times New Roman" w:hAnsi="Times New Roman"/>
        </w:rPr>
        <w:tab/>
        <w:t>Participants learned they</w:t>
      </w:r>
      <w:r w:rsidR="00BB27B4" w:rsidRPr="002208A3">
        <w:rPr>
          <w:rFonts w:ascii="Times New Roman" w:hAnsi="Times New Roman"/>
        </w:rPr>
        <w:t xml:space="preserve"> had the optio</w:t>
      </w:r>
      <w:r w:rsidR="008936CF" w:rsidRPr="002208A3">
        <w:rPr>
          <w:rFonts w:ascii="Times New Roman" w:hAnsi="Times New Roman"/>
        </w:rPr>
        <w:t>n each year to invest in a safe</w:t>
      </w:r>
      <w:r w:rsidR="007251FD">
        <w:rPr>
          <w:rFonts w:ascii="Times New Roman" w:hAnsi="Times New Roman"/>
        </w:rPr>
        <w:t>r</w:t>
      </w:r>
      <w:r w:rsidR="00BB27B4" w:rsidRPr="002208A3">
        <w:rPr>
          <w:rFonts w:ascii="Times New Roman" w:hAnsi="Times New Roman"/>
        </w:rPr>
        <w:t>, though more expensive pesticide</w:t>
      </w:r>
      <w:r w:rsidR="008936CF" w:rsidRPr="002208A3">
        <w:rPr>
          <w:rFonts w:ascii="Times New Roman" w:hAnsi="Times New Roman"/>
        </w:rPr>
        <w:t xml:space="preserve">, which would </w:t>
      </w:r>
      <w:r w:rsidR="002B61C4">
        <w:rPr>
          <w:rFonts w:ascii="Times New Roman" w:hAnsi="Times New Roman"/>
        </w:rPr>
        <w:t>reduce</w:t>
      </w:r>
      <w:r w:rsidR="002B61C4" w:rsidRPr="002208A3">
        <w:rPr>
          <w:rFonts w:ascii="Times New Roman" w:hAnsi="Times New Roman"/>
        </w:rPr>
        <w:t xml:space="preserve"> </w:t>
      </w:r>
      <w:r w:rsidR="008936CF" w:rsidRPr="002208A3">
        <w:rPr>
          <w:rFonts w:ascii="Times New Roman" w:hAnsi="Times New Roman"/>
        </w:rPr>
        <w:t>the risk of groundwater contamination</w:t>
      </w:r>
      <w:r w:rsidR="00BB27B4" w:rsidRPr="002208A3">
        <w:rPr>
          <w:rFonts w:ascii="Times New Roman" w:hAnsi="Times New Roman"/>
        </w:rPr>
        <w:t xml:space="preserve">. </w:t>
      </w:r>
      <w:r w:rsidR="00B47C2B" w:rsidRPr="002208A3">
        <w:rPr>
          <w:rFonts w:ascii="Times New Roman" w:hAnsi="Times New Roman"/>
        </w:rPr>
        <w:t>However, contamination was only completely eliminated if both counterparts invested. Participants</w:t>
      </w:r>
      <w:r w:rsidR="00F100DD" w:rsidRPr="002208A3">
        <w:rPr>
          <w:rFonts w:ascii="Times New Roman" w:hAnsi="Times New Roman"/>
        </w:rPr>
        <w:t xml:space="preserve"> </w:t>
      </w:r>
      <w:r w:rsidR="00B47C2B" w:rsidRPr="002208A3">
        <w:rPr>
          <w:rFonts w:ascii="Times New Roman" w:hAnsi="Times New Roman"/>
        </w:rPr>
        <w:t xml:space="preserve">learned </w:t>
      </w:r>
      <w:r w:rsidR="00F81EEE">
        <w:rPr>
          <w:rFonts w:ascii="Times New Roman" w:hAnsi="Times New Roman"/>
        </w:rPr>
        <w:t xml:space="preserve">that they </w:t>
      </w:r>
      <w:r w:rsidR="00F100DD" w:rsidRPr="002208A3">
        <w:rPr>
          <w:rFonts w:ascii="Times New Roman" w:hAnsi="Times New Roman"/>
        </w:rPr>
        <w:t xml:space="preserve">would play a </w:t>
      </w:r>
      <w:r w:rsidR="00A26CD6" w:rsidRPr="002208A3">
        <w:rPr>
          <w:rFonts w:ascii="Times New Roman" w:hAnsi="Times New Roman"/>
        </w:rPr>
        <w:t>20-year</w:t>
      </w:r>
      <w:r w:rsidR="00F100DD" w:rsidRPr="002208A3">
        <w:rPr>
          <w:rFonts w:ascii="Times New Roman" w:hAnsi="Times New Roman"/>
        </w:rPr>
        <w:t xml:space="preserve"> session with one anonymous counterpart, after which they would again be randomly paired with a </w:t>
      </w:r>
      <w:r w:rsidR="008B0131" w:rsidRPr="002208A3">
        <w:rPr>
          <w:rFonts w:ascii="Times New Roman" w:hAnsi="Times New Roman"/>
        </w:rPr>
        <w:t xml:space="preserve">new </w:t>
      </w:r>
      <w:r w:rsidR="00F100DD" w:rsidRPr="002208A3">
        <w:rPr>
          <w:rFonts w:ascii="Times New Roman" w:hAnsi="Times New Roman"/>
        </w:rPr>
        <w:t>counterpart and play another session. They would play 4 sessions in total, one of which would be randomly selected and have all rounds paid out for real money</w:t>
      </w:r>
      <w:r w:rsidR="006C0E39" w:rsidRPr="002208A3">
        <w:rPr>
          <w:rFonts w:ascii="Times New Roman" w:hAnsi="Times New Roman"/>
        </w:rPr>
        <w:t xml:space="preserve"> (converted to dollars)</w:t>
      </w:r>
      <w:r w:rsidR="00F100DD" w:rsidRPr="002208A3">
        <w:rPr>
          <w:rFonts w:ascii="Times New Roman" w:hAnsi="Times New Roman"/>
        </w:rPr>
        <w:t xml:space="preserve">. </w:t>
      </w:r>
      <w:r w:rsidR="00B96FE1" w:rsidRPr="002208A3">
        <w:rPr>
          <w:rFonts w:ascii="Times New Roman" w:hAnsi="Times New Roman"/>
        </w:rPr>
        <w:t xml:space="preserve">Participants in the DPD-rep and SPD-rep conditions were told they would play one round at a time, while those in the SPD-pre condition learned that they would precommit their choices for all 20 rounds in a session. </w:t>
      </w:r>
    </w:p>
    <w:p w14:paraId="6E9EDDC4" w14:textId="77777777" w:rsidR="006116CB" w:rsidRPr="002208A3" w:rsidRDefault="006116CB" w:rsidP="00AF2B85">
      <w:pPr>
        <w:spacing w:line="480" w:lineRule="auto"/>
        <w:rPr>
          <w:rFonts w:ascii="Times New Roman" w:hAnsi="Times New Roman"/>
        </w:rPr>
      </w:pPr>
      <w:r w:rsidRPr="002208A3">
        <w:rPr>
          <w:rFonts w:ascii="Times New Roman" w:hAnsi="Times New Roman"/>
        </w:rPr>
        <w:tab/>
        <w:t xml:space="preserve">Participants were told that while average payments were around $15, it was theoretically possible (though unlikely) to finish with negative money, and if this </w:t>
      </w:r>
      <w:proofErr w:type="gramStart"/>
      <w:r w:rsidRPr="002208A3">
        <w:rPr>
          <w:rFonts w:ascii="Times New Roman" w:hAnsi="Times New Roman"/>
        </w:rPr>
        <w:t>happened</w:t>
      </w:r>
      <w:proofErr w:type="gramEnd"/>
      <w:r w:rsidRPr="002208A3">
        <w:rPr>
          <w:rFonts w:ascii="Times New Roman" w:hAnsi="Times New Roman"/>
        </w:rPr>
        <w:t xml:space="preserve"> they would have to stay after the study and complete additional surveys at the rate of 25 cents a</w:t>
      </w:r>
      <w:r w:rsidR="00DF65EB" w:rsidRPr="002208A3">
        <w:rPr>
          <w:rFonts w:ascii="Times New Roman" w:hAnsi="Times New Roman"/>
        </w:rPr>
        <w:t xml:space="preserve"> minute to pay back their debt (o</w:t>
      </w:r>
      <w:r w:rsidRPr="002208A3">
        <w:rPr>
          <w:rFonts w:ascii="Times New Roman" w:hAnsi="Times New Roman"/>
        </w:rPr>
        <w:t xml:space="preserve">ne unfortunate participant </w:t>
      </w:r>
      <w:r w:rsidR="00DF65EB" w:rsidRPr="002208A3">
        <w:rPr>
          <w:rFonts w:ascii="Times New Roman" w:hAnsi="Times New Roman"/>
        </w:rPr>
        <w:t xml:space="preserve">actually </w:t>
      </w:r>
      <w:r w:rsidRPr="002208A3">
        <w:rPr>
          <w:rFonts w:ascii="Times New Roman" w:hAnsi="Times New Roman"/>
        </w:rPr>
        <w:t>had to do this</w:t>
      </w:r>
      <w:r w:rsidR="00DF65EB" w:rsidRPr="002208A3">
        <w:rPr>
          <w:rFonts w:ascii="Times New Roman" w:hAnsi="Times New Roman"/>
        </w:rPr>
        <w:t>)</w:t>
      </w:r>
      <w:r w:rsidRPr="002208A3">
        <w:rPr>
          <w:rFonts w:ascii="Times New Roman" w:hAnsi="Times New Roman"/>
        </w:rPr>
        <w:t xml:space="preserve">. </w:t>
      </w:r>
    </w:p>
    <w:p w14:paraId="5FAE8CD5" w14:textId="50EF295A" w:rsidR="00C1354E" w:rsidRPr="002208A3" w:rsidRDefault="00D9296A" w:rsidP="00AF2B85">
      <w:pPr>
        <w:spacing w:line="480" w:lineRule="auto"/>
        <w:rPr>
          <w:rFonts w:ascii="Times New Roman" w:hAnsi="Times New Roman"/>
        </w:rPr>
      </w:pPr>
      <w:r w:rsidRPr="002208A3">
        <w:rPr>
          <w:rFonts w:ascii="Times New Roman" w:hAnsi="Times New Roman"/>
        </w:rPr>
        <w:tab/>
        <w:t xml:space="preserve">After reading the instructions, participants saw a payoff matrix summarizing </w:t>
      </w:r>
      <w:r w:rsidR="00F56C26" w:rsidRPr="002208A3">
        <w:rPr>
          <w:rFonts w:ascii="Times New Roman" w:hAnsi="Times New Roman"/>
        </w:rPr>
        <w:t xml:space="preserve">the contingencies (see </w:t>
      </w:r>
      <w:r w:rsidR="00141A5B">
        <w:rPr>
          <w:rFonts w:ascii="Times New Roman" w:hAnsi="Times New Roman"/>
        </w:rPr>
        <w:t xml:space="preserve">Table </w:t>
      </w:r>
      <w:r w:rsidR="009132EC">
        <w:rPr>
          <w:rFonts w:ascii="Times New Roman" w:hAnsi="Times New Roman"/>
        </w:rPr>
        <w:t>1</w:t>
      </w:r>
      <w:r w:rsidR="009132EC" w:rsidRPr="002208A3">
        <w:rPr>
          <w:rFonts w:ascii="Times New Roman" w:hAnsi="Times New Roman"/>
        </w:rPr>
        <w:t xml:space="preserve"> </w:t>
      </w:r>
      <w:r w:rsidR="00C1354E" w:rsidRPr="002208A3">
        <w:rPr>
          <w:rFonts w:ascii="Times New Roman" w:hAnsi="Times New Roman"/>
        </w:rPr>
        <w:t xml:space="preserve">and </w:t>
      </w:r>
      <w:r w:rsidR="00141A5B">
        <w:rPr>
          <w:rFonts w:ascii="Times New Roman" w:hAnsi="Times New Roman"/>
        </w:rPr>
        <w:t xml:space="preserve">Table </w:t>
      </w:r>
      <w:r w:rsidR="009132EC">
        <w:rPr>
          <w:rFonts w:ascii="Times New Roman" w:hAnsi="Times New Roman"/>
        </w:rPr>
        <w:t>2</w:t>
      </w:r>
      <w:r w:rsidR="00C64B45">
        <w:rPr>
          <w:rFonts w:ascii="Times New Roman" w:hAnsi="Times New Roman"/>
        </w:rPr>
        <w:t>, above</w:t>
      </w:r>
      <w:r w:rsidR="00CE27BC" w:rsidRPr="002208A3">
        <w:rPr>
          <w:rFonts w:ascii="Times New Roman" w:hAnsi="Times New Roman"/>
        </w:rPr>
        <w:t>)</w:t>
      </w:r>
      <w:r w:rsidRPr="002208A3">
        <w:rPr>
          <w:rFonts w:ascii="Times New Roman" w:hAnsi="Times New Roman"/>
        </w:rPr>
        <w:t xml:space="preserve">. </w:t>
      </w:r>
      <w:r w:rsidR="00585BC1" w:rsidRPr="002208A3">
        <w:rPr>
          <w:rFonts w:ascii="Times New Roman" w:hAnsi="Times New Roman"/>
        </w:rPr>
        <w:t xml:space="preserve">Note that the expected values of the </w:t>
      </w:r>
      <w:r w:rsidR="00C64B45">
        <w:rPr>
          <w:rFonts w:ascii="Times New Roman" w:hAnsi="Times New Roman"/>
        </w:rPr>
        <w:t>S</w:t>
      </w:r>
      <w:r w:rsidR="00C64B45" w:rsidRPr="002208A3">
        <w:rPr>
          <w:rFonts w:ascii="Times New Roman" w:hAnsi="Times New Roman"/>
        </w:rPr>
        <w:t xml:space="preserve">PD </w:t>
      </w:r>
      <w:r w:rsidR="00585BC1" w:rsidRPr="002208A3">
        <w:rPr>
          <w:rFonts w:ascii="Times New Roman" w:hAnsi="Times New Roman"/>
        </w:rPr>
        <w:lastRenderedPageBreak/>
        <w:t xml:space="preserve">and </w:t>
      </w:r>
      <w:r w:rsidR="00C64B45">
        <w:rPr>
          <w:rFonts w:ascii="Times New Roman" w:hAnsi="Times New Roman"/>
        </w:rPr>
        <w:t>D</w:t>
      </w:r>
      <w:r w:rsidR="00C64B45" w:rsidRPr="002208A3">
        <w:rPr>
          <w:rFonts w:ascii="Times New Roman" w:hAnsi="Times New Roman"/>
        </w:rPr>
        <w:t xml:space="preserve">PD </w:t>
      </w:r>
      <w:r w:rsidR="00585BC1" w:rsidRPr="002208A3">
        <w:rPr>
          <w:rFonts w:ascii="Times New Roman" w:hAnsi="Times New Roman"/>
        </w:rPr>
        <w:t>conditions are identical</w:t>
      </w:r>
      <w:r w:rsidR="00824968">
        <w:rPr>
          <w:rFonts w:ascii="Times New Roman" w:hAnsi="Times New Roman"/>
        </w:rPr>
        <w:t>, and note that b</w:t>
      </w:r>
      <w:r w:rsidR="00585BC1" w:rsidRPr="002208A3">
        <w:rPr>
          <w:rFonts w:ascii="Times New Roman" w:hAnsi="Times New Roman"/>
        </w:rPr>
        <w:t xml:space="preserve">oth </w:t>
      </w:r>
      <w:r w:rsidR="00824968">
        <w:rPr>
          <w:rFonts w:ascii="Times New Roman" w:hAnsi="Times New Roman"/>
        </w:rPr>
        <w:t xml:space="preserve">matrices </w:t>
      </w:r>
      <w:r w:rsidR="00585BC1" w:rsidRPr="002208A3">
        <w:rPr>
          <w:rFonts w:ascii="Times New Roman" w:hAnsi="Times New Roman"/>
        </w:rPr>
        <w:t>take the form of a prisoner's dilemma, whereby each individual can expect a higher payout through not investing (</w:t>
      </w:r>
      <w:proofErr w:type="spellStart"/>
      <w:r w:rsidR="00585BC1" w:rsidRPr="002208A3">
        <w:rPr>
          <w:rFonts w:ascii="Times New Roman" w:hAnsi="Times New Roman"/>
        </w:rPr>
        <w:t>ie</w:t>
      </w:r>
      <w:proofErr w:type="spellEnd"/>
      <w:r w:rsidR="00585BC1" w:rsidRPr="002208A3">
        <w:rPr>
          <w:rFonts w:ascii="Times New Roman" w:hAnsi="Times New Roman"/>
        </w:rPr>
        <w:t>, defecting), while the overall expected value for the dyad is higher if both invest (</w:t>
      </w:r>
      <w:proofErr w:type="spellStart"/>
      <w:r w:rsidR="00585BC1" w:rsidRPr="002208A3">
        <w:rPr>
          <w:rFonts w:ascii="Times New Roman" w:hAnsi="Times New Roman"/>
        </w:rPr>
        <w:t>ie</w:t>
      </w:r>
      <w:proofErr w:type="spellEnd"/>
      <w:r w:rsidR="00585BC1" w:rsidRPr="002208A3">
        <w:rPr>
          <w:rFonts w:ascii="Times New Roman" w:hAnsi="Times New Roman"/>
        </w:rPr>
        <w:t xml:space="preserve">, cooperate). </w:t>
      </w:r>
      <w:r w:rsidR="00DF06E2" w:rsidRPr="002208A3">
        <w:rPr>
          <w:rFonts w:ascii="Times New Roman" w:hAnsi="Times New Roman"/>
        </w:rPr>
        <w:t>The ratios of the expected values of each cell (in other words, the relative attractiveness of each option) matched those in previous work on IDS</w:t>
      </w:r>
      <w:r w:rsidR="00720D24">
        <w:rPr>
          <w:rFonts w:ascii="Times New Roman" w:hAnsi="Times New Roman"/>
        </w:rPr>
        <w:t xml:space="preserve"> </w:t>
      </w:r>
      <w:r w:rsidR="00720D24">
        <w:rPr>
          <w:rFonts w:ascii="Times New Roman" w:hAnsi="Times New Roman"/>
        </w:rPr>
        <w:fldChar w:fldCharType="begin" w:fldLock="1"/>
      </w:r>
      <w:r w:rsidR="005B1C17">
        <w:rPr>
          <w:rFonts w:ascii="Times New Roman" w:hAnsi="Times New Roman"/>
        </w:rPr>
        <w:instrText>ADDIN CSL_CITATION {"citationItems":[{"id":"ITEM-1","itemData":{"author":[{"dropping-particle":"","family":"Kunreuther","given":"Howard","non-dropping-particle":"","parse-names":false,"suffix":""},{"dropping-particle":"","family":"Silvasi","given":"Gabriel","non-dropping-particle":"","parse-names":false,"suffix":""},{"dropping-particle":"","family":"Bradlow","given":"Eric","non-dropping-particle":"","parse-names":false,"suffix":""},{"dropping-particle":"","family":"Small","given":"Dylan","non-dropping-particle":"","parse-names":false,"suffix":""}],"container-title":"Judgment and Decision Making","id":"ITEM-1","issue":"5","issued":{"date-parts":[["2009"]]},"page":"363","title":"Bayesian analysis of deterministic and stochastic prisoner's dilemma games","type":"article-journal","volume":"4"},"uris":["http://www.mendeley.com/documents/?uuid=9fa45453-4136-4e5b-987c-c266d4ff8013"]},{"id":"ITEM-2","itemData":{"ISSN":"0895-5646","author":[{"dropping-particle":"","family":"Gong","given":"Min","non-dropping-particle":"","parse-names":false,"suffix":""},{"dropping-particle":"","family":"Baron","given":"Jonathan","non-dropping-particle":"","parse-names":false,"suffix":""},{"dropping-particle":"","family":"Kunreuther","given":"Howard","non-dropping-particle":"","parse-names":false,"suffix":""}],"container-title":"Journal of Risk and Uncertainty","id":"ITEM-2","issue":"3","issued":{"date-parts":[["2009"]]},"page":"251","publisher":"Springer","title":"Group cooperation under uncertainty","type":"article-journal","volume":"39"},"uris":["http://www.mendeley.com/documents/?uuid=1579dd97-553f-42ba-af93-0797c7c520f5"]}],"mendeley":{"formattedCitation":"(Gong et al., 2009; Kunreuther et al., 2009)","plainTextFormattedCitation":"(Gong et al., 2009; Kunreuther et al., 2009)","previouslyFormattedCitation":"(Gong et al. 2009, Kunreuther et al. 2009)"},"properties":{"noteIndex":0},"schema":"https://github.com/citation-style-language/schema/raw/master/csl-citation.json"}</w:instrText>
      </w:r>
      <w:r w:rsidR="00720D24">
        <w:rPr>
          <w:rFonts w:ascii="Times New Roman" w:hAnsi="Times New Roman"/>
        </w:rPr>
        <w:fldChar w:fldCharType="separate"/>
      </w:r>
      <w:r w:rsidR="005B1C17" w:rsidRPr="005B1C17">
        <w:rPr>
          <w:rFonts w:ascii="Times New Roman" w:hAnsi="Times New Roman"/>
          <w:noProof/>
        </w:rPr>
        <w:t>(Gong et al., 2009; Kunreuther et al., 2009)</w:t>
      </w:r>
      <w:r w:rsidR="00720D24">
        <w:rPr>
          <w:rFonts w:ascii="Times New Roman" w:hAnsi="Times New Roman"/>
        </w:rPr>
        <w:fldChar w:fldCharType="end"/>
      </w:r>
      <w:r w:rsidR="00DF06E2" w:rsidRPr="002208A3">
        <w:rPr>
          <w:rFonts w:ascii="Times New Roman" w:hAnsi="Times New Roman"/>
        </w:rPr>
        <w:t xml:space="preserve">. </w:t>
      </w:r>
      <w:r w:rsidR="00CE27BC" w:rsidRPr="002208A3">
        <w:rPr>
          <w:rFonts w:ascii="Times New Roman" w:hAnsi="Times New Roman"/>
        </w:rPr>
        <w:t xml:space="preserve">Participants then took a 4-item comprehension test. </w:t>
      </w:r>
      <w:r w:rsidRPr="002208A3">
        <w:rPr>
          <w:rFonts w:ascii="Times New Roman" w:hAnsi="Times New Roman"/>
        </w:rPr>
        <w:t xml:space="preserve">If participants got any items </w:t>
      </w:r>
      <w:r w:rsidR="00647838">
        <w:rPr>
          <w:rFonts w:ascii="Times New Roman" w:hAnsi="Times New Roman"/>
        </w:rPr>
        <w:t xml:space="preserve">wrong </w:t>
      </w:r>
      <w:r w:rsidRPr="002208A3">
        <w:rPr>
          <w:rFonts w:ascii="Times New Roman" w:hAnsi="Times New Roman"/>
        </w:rPr>
        <w:t xml:space="preserve">on the test, they had to re-read the instructions and take the test again. </w:t>
      </w:r>
      <w:r w:rsidR="00892B0D" w:rsidRPr="002208A3">
        <w:rPr>
          <w:rFonts w:ascii="Times New Roman" w:hAnsi="Times New Roman"/>
        </w:rPr>
        <w:t xml:space="preserve">Every page of the experiment had a note at the bottom that said "If you have questions at any time, please ask the experimenter." </w:t>
      </w:r>
      <w:r w:rsidR="00C64B45">
        <w:rPr>
          <w:rFonts w:ascii="Times New Roman" w:hAnsi="Times New Roman"/>
        </w:rPr>
        <w:t>Some p</w:t>
      </w:r>
      <w:r w:rsidR="00C64B45" w:rsidRPr="002208A3">
        <w:rPr>
          <w:rFonts w:ascii="Times New Roman" w:hAnsi="Times New Roman"/>
        </w:rPr>
        <w:t xml:space="preserve">articipants </w:t>
      </w:r>
      <w:r w:rsidR="00892B0D" w:rsidRPr="002208A3">
        <w:rPr>
          <w:rFonts w:ascii="Times New Roman" w:hAnsi="Times New Roman"/>
        </w:rPr>
        <w:t>did</w:t>
      </w:r>
      <w:r w:rsidR="00F30327" w:rsidRPr="002208A3">
        <w:rPr>
          <w:rFonts w:ascii="Times New Roman" w:hAnsi="Times New Roman"/>
        </w:rPr>
        <w:t xml:space="preserve"> indeed</w:t>
      </w:r>
      <w:r w:rsidR="00892B0D" w:rsidRPr="002208A3">
        <w:rPr>
          <w:rFonts w:ascii="Times New Roman" w:hAnsi="Times New Roman"/>
        </w:rPr>
        <w:t xml:space="preserve"> ask questions, and the experimenter assisted as necessary.</w:t>
      </w:r>
    </w:p>
    <w:p w14:paraId="3DBF9480" w14:textId="33446E18" w:rsidR="009E0202" w:rsidRPr="002208A3" w:rsidRDefault="00D30536" w:rsidP="00AF2B85">
      <w:pPr>
        <w:spacing w:line="480" w:lineRule="auto"/>
        <w:rPr>
          <w:rFonts w:ascii="Times New Roman" w:hAnsi="Times New Roman"/>
        </w:rPr>
      </w:pPr>
      <w:r w:rsidRPr="002208A3">
        <w:rPr>
          <w:rFonts w:ascii="Times New Roman" w:hAnsi="Times New Roman"/>
        </w:rPr>
        <w:tab/>
        <w:t xml:space="preserve">Participants </w:t>
      </w:r>
      <w:r w:rsidR="00107127">
        <w:rPr>
          <w:rFonts w:ascii="Times New Roman" w:hAnsi="Times New Roman"/>
        </w:rPr>
        <w:t xml:space="preserve">next </w:t>
      </w:r>
      <w:r w:rsidRPr="002208A3">
        <w:rPr>
          <w:rFonts w:ascii="Times New Roman" w:hAnsi="Times New Roman"/>
        </w:rPr>
        <w:t xml:space="preserve">had to wait until all </w:t>
      </w:r>
      <w:r w:rsidR="00107127">
        <w:rPr>
          <w:rFonts w:ascii="Times New Roman" w:hAnsi="Times New Roman"/>
        </w:rPr>
        <w:t xml:space="preserve">other </w:t>
      </w:r>
      <w:r w:rsidRPr="002208A3">
        <w:rPr>
          <w:rFonts w:ascii="Times New Roman" w:hAnsi="Times New Roman"/>
        </w:rPr>
        <w:t xml:space="preserve">participants </w:t>
      </w:r>
      <w:r w:rsidR="00107127">
        <w:rPr>
          <w:rFonts w:ascii="Times New Roman" w:hAnsi="Times New Roman"/>
        </w:rPr>
        <w:t xml:space="preserve">at that session </w:t>
      </w:r>
      <w:r w:rsidRPr="002208A3">
        <w:rPr>
          <w:rFonts w:ascii="Times New Roman" w:hAnsi="Times New Roman"/>
        </w:rPr>
        <w:t xml:space="preserve">had completed the knowledge test, and were then randomly paired with a counterpart for the first block of 20 rounds. </w:t>
      </w:r>
      <w:r w:rsidR="00697A4B" w:rsidRPr="002208A3">
        <w:rPr>
          <w:rFonts w:ascii="Times New Roman" w:hAnsi="Times New Roman"/>
        </w:rPr>
        <w:t>Subsequently, participants were again presented with the appropriate payoff matrix</w:t>
      </w:r>
      <w:r w:rsidR="00107127">
        <w:rPr>
          <w:rFonts w:ascii="Times New Roman" w:hAnsi="Times New Roman"/>
        </w:rPr>
        <w:t xml:space="preserve"> for reference</w:t>
      </w:r>
      <w:r w:rsidR="00697A4B" w:rsidRPr="002208A3">
        <w:rPr>
          <w:rFonts w:ascii="Times New Roman" w:hAnsi="Times New Roman"/>
        </w:rPr>
        <w:t xml:space="preserve">, and were asked to </w:t>
      </w:r>
      <w:r w:rsidR="00107127">
        <w:rPr>
          <w:rFonts w:ascii="Times New Roman" w:hAnsi="Times New Roman"/>
        </w:rPr>
        <w:t xml:space="preserve">1) </w:t>
      </w:r>
      <w:r w:rsidR="00697A4B" w:rsidRPr="002208A3">
        <w:rPr>
          <w:rFonts w:ascii="Times New Roman" w:hAnsi="Times New Roman"/>
        </w:rPr>
        <w:t xml:space="preserve">choose whether to invest or not, and </w:t>
      </w:r>
      <w:r w:rsidR="00107127">
        <w:rPr>
          <w:rFonts w:ascii="Times New Roman" w:hAnsi="Times New Roman"/>
        </w:rPr>
        <w:t xml:space="preserve">2) </w:t>
      </w:r>
      <w:r w:rsidR="00697A4B" w:rsidRPr="002208A3">
        <w:rPr>
          <w:rFonts w:ascii="Times New Roman" w:hAnsi="Times New Roman"/>
        </w:rPr>
        <w:t xml:space="preserve">to predict whether their counterpart would invest (on a 4-point scale: "Definitely Not", "Probably Not", "Probably", or "Definitely). </w:t>
      </w:r>
    </w:p>
    <w:p w14:paraId="404819D1" w14:textId="77777777" w:rsidR="001579D3" w:rsidRDefault="009E0202" w:rsidP="00AF2B85">
      <w:pPr>
        <w:spacing w:line="480" w:lineRule="auto"/>
        <w:rPr>
          <w:rFonts w:ascii="Times New Roman" w:hAnsi="Times New Roman"/>
        </w:rPr>
      </w:pPr>
      <w:r w:rsidRPr="002208A3">
        <w:rPr>
          <w:rFonts w:ascii="Times New Roman" w:hAnsi="Times New Roman"/>
        </w:rPr>
        <w:tab/>
      </w:r>
      <w:r w:rsidR="00697A4B" w:rsidRPr="002208A3">
        <w:rPr>
          <w:rFonts w:ascii="Times New Roman" w:hAnsi="Times New Roman"/>
        </w:rPr>
        <w:t xml:space="preserve">Participants in the DPD-rep and SPD-rep conditions made a choice and prediction for the first round, and then got feedback for the first round. The feedback specified their choice, the choice of their counterpart, and the end result. In the SPD-rep condition, participants were also told which number was randomly generated to determine if the groundwater contamination occurred. </w:t>
      </w:r>
      <w:r w:rsidRPr="002208A3">
        <w:rPr>
          <w:rFonts w:ascii="Times New Roman" w:hAnsi="Times New Roman"/>
        </w:rPr>
        <w:t xml:space="preserve">Participants then made their choice and prediction for the second round, got feedback for the second round, and so-on, until they finished all 20 rounds, at which time they saw a summary of the results of all 20 rounds. Participants </w:t>
      </w:r>
      <w:r w:rsidRPr="002208A3">
        <w:rPr>
          <w:rFonts w:ascii="Times New Roman" w:hAnsi="Times New Roman"/>
        </w:rPr>
        <w:lastRenderedPageBreak/>
        <w:t>in the SPD-pre condition first made choices and predictions for all 20 rounds at once (</w:t>
      </w:r>
      <w:r w:rsidR="001579D3">
        <w:rPr>
          <w:rFonts w:ascii="Times New Roman" w:hAnsi="Times New Roman"/>
        </w:rPr>
        <w:t xml:space="preserve">all </w:t>
      </w:r>
      <w:r w:rsidRPr="002208A3">
        <w:rPr>
          <w:rFonts w:ascii="Times New Roman" w:hAnsi="Times New Roman"/>
        </w:rPr>
        <w:t>on the same page). They then saw round by round feedback for all 20 rounds</w:t>
      </w:r>
      <w:r w:rsidR="001579D3">
        <w:rPr>
          <w:rFonts w:ascii="Times New Roman" w:hAnsi="Times New Roman"/>
        </w:rPr>
        <w:t xml:space="preserve"> played out one at a time</w:t>
      </w:r>
      <w:r w:rsidRPr="002208A3">
        <w:rPr>
          <w:rFonts w:ascii="Times New Roman" w:hAnsi="Times New Roman"/>
        </w:rPr>
        <w:t xml:space="preserve">, and then the summary of all 20 rounds. </w:t>
      </w:r>
      <w:r w:rsidR="001579D3">
        <w:rPr>
          <w:rFonts w:ascii="Times New Roman" w:hAnsi="Times New Roman"/>
        </w:rPr>
        <w:t xml:space="preserve">Thus, after 20 rounds, participants in the SPD-rep and SPD-pre conditions had seen exactly the same feedback. </w:t>
      </w:r>
    </w:p>
    <w:p w14:paraId="79B0C8D0" w14:textId="4D57FD89" w:rsidR="00D30536" w:rsidRPr="002208A3" w:rsidRDefault="009E0202" w:rsidP="00511D2D">
      <w:pPr>
        <w:spacing w:line="480" w:lineRule="auto"/>
        <w:ind w:firstLine="720"/>
        <w:rPr>
          <w:rFonts w:ascii="Times New Roman" w:hAnsi="Times New Roman"/>
        </w:rPr>
      </w:pPr>
      <w:r w:rsidRPr="002208A3">
        <w:rPr>
          <w:rFonts w:ascii="Times New Roman" w:hAnsi="Times New Roman"/>
        </w:rPr>
        <w:t>Note that when participants</w:t>
      </w:r>
      <w:r w:rsidR="001579D3">
        <w:rPr>
          <w:rFonts w:ascii="Times New Roman" w:hAnsi="Times New Roman"/>
        </w:rPr>
        <w:t xml:space="preserve"> in the SPD-pre condition</w:t>
      </w:r>
      <w:r w:rsidRPr="002208A3">
        <w:rPr>
          <w:rFonts w:ascii="Times New Roman" w:hAnsi="Times New Roman"/>
        </w:rPr>
        <w:t xml:space="preserve"> made their </w:t>
      </w:r>
      <w:r w:rsidR="001579D3">
        <w:rPr>
          <w:rFonts w:ascii="Times New Roman" w:hAnsi="Times New Roman"/>
        </w:rPr>
        <w:t xml:space="preserve">precommitted </w:t>
      </w:r>
      <w:r w:rsidRPr="002208A3">
        <w:rPr>
          <w:rFonts w:ascii="Times New Roman" w:hAnsi="Times New Roman"/>
        </w:rPr>
        <w:t>choices (and predictions), they could make different choice</w:t>
      </w:r>
      <w:r w:rsidR="001579D3">
        <w:rPr>
          <w:rFonts w:ascii="Times New Roman" w:hAnsi="Times New Roman"/>
        </w:rPr>
        <w:t>s</w:t>
      </w:r>
      <w:r w:rsidRPr="002208A3">
        <w:rPr>
          <w:rFonts w:ascii="Times New Roman" w:hAnsi="Times New Roman"/>
        </w:rPr>
        <w:t xml:space="preserve"> for each round if they desired. For example, a participant could precommit to investing in the first 15 rounds and not in the last 5.</w:t>
      </w:r>
      <w:r w:rsidR="00A95031">
        <w:rPr>
          <w:rFonts w:ascii="Times New Roman" w:hAnsi="Times New Roman"/>
        </w:rPr>
        <w:t xml:space="preserve"> </w:t>
      </w:r>
      <w:r w:rsidR="00A95031" w:rsidRPr="009A1D8A">
        <w:rPr>
          <w:rFonts w:ascii="Times New Roman" w:hAnsi="Times New Roman"/>
        </w:rPr>
        <w:t xml:space="preserve">Although this might not seem rational, many participants precommitted to a </w:t>
      </w:r>
      <w:r w:rsidR="001579D3">
        <w:rPr>
          <w:rFonts w:ascii="Times New Roman" w:hAnsi="Times New Roman"/>
        </w:rPr>
        <w:t>“</w:t>
      </w:r>
      <w:r w:rsidR="00A95031" w:rsidRPr="009A1D8A">
        <w:rPr>
          <w:rFonts w:ascii="Times New Roman" w:hAnsi="Times New Roman"/>
        </w:rPr>
        <w:t>mixed strategy</w:t>
      </w:r>
      <w:r w:rsidR="001579D3">
        <w:rPr>
          <w:rFonts w:ascii="Times New Roman" w:hAnsi="Times New Roman"/>
        </w:rPr>
        <w:t>”</w:t>
      </w:r>
      <w:r w:rsidR="00A95031" w:rsidRPr="009A1D8A">
        <w:rPr>
          <w:rFonts w:ascii="Times New Roman" w:hAnsi="Times New Roman"/>
        </w:rPr>
        <w:t xml:space="preserve"> such as this, and in fact gave </w:t>
      </w:r>
      <w:r w:rsidR="001579D3">
        <w:rPr>
          <w:rFonts w:ascii="Times New Roman" w:hAnsi="Times New Roman"/>
        </w:rPr>
        <w:t>understandable</w:t>
      </w:r>
      <w:r w:rsidR="001579D3" w:rsidRPr="009A1D8A">
        <w:rPr>
          <w:rFonts w:ascii="Times New Roman" w:hAnsi="Times New Roman"/>
        </w:rPr>
        <w:t xml:space="preserve"> </w:t>
      </w:r>
      <w:r w:rsidR="00A95031" w:rsidRPr="009A1D8A">
        <w:rPr>
          <w:rFonts w:ascii="Times New Roman" w:hAnsi="Times New Roman"/>
        </w:rPr>
        <w:t xml:space="preserve">reasons on why in their comments at the end of the study. For example, one pre-committing participant wrote </w:t>
      </w:r>
      <w:r w:rsidR="001579D3">
        <w:rPr>
          <w:rFonts w:ascii="Times New Roman" w:hAnsi="Times New Roman"/>
        </w:rPr>
        <w:t>“</w:t>
      </w:r>
      <w:r w:rsidR="00A95031" w:rsidRPr="009A1D8A">
        <w:rPr>
          <w:rFonts w:ascii="Times New Roman" w:hAnsi="Times New Roman"/>
        </w:rPr>
        <w:t>I chose to invest almost all 20 times except for one or 2 years to make an extra bonus</w:t>
      </w:r>
      <w:r w:rsidR="001579D3">
        <w:rPr>
          <w:rFonts w:ascii="Times New Roman" w:hAnsi="Times New Roman"/>
        </w:rPr>
        <w:t>”</w:t>
      </w:r>
      <w:r w:rsidR="001579D3" w:rsidRPr="009A1D8A">
        <w:rPr>
          <w:rFonts w:ascii="Times New Roman" w:hAnsi="Times New Roman"/>
        </w:rPr>
        <w:t xml:space="preserve">, </w:t>
      </w:r>
      <w:r w:rsidR="00A95031" w:rsidRPr="009A1D8A">
        <w:rPr>
          <w:rFonts w:ascii="Times New Roman" w:hAnsi="Times New Roman"/>
        </w:rPr>
        <w:t xml:space="preserve">while another saw it as a prediction game, writing </w:t>
      </w:r>
      <w:r w:rsidR="001579D3">
        <w:rPr>
          <w:rFonts w:ascii="Times New Roman" w:hAnsi="Times New Roman"/>
        </w:rPr>
        <w:t>“</w:t>
      </w:r>
      <w:r w:rsidR="00A95031" w:rsidRPr="009A1D8A">
        <w:rPr>
          <w:rFonts w:ascii="Times New Roman" w:hAnsi="Times New Roman"/>
        </w:rPr>
        <w:t>It was really hard to decide when to invest and when to not invest. In the end, I decided to make a random choice of investing the last 8 years for one round, not investing for another round, then every 5 years for another round, and lastly investing the first year, 10th year, and 20th year</w:t>
      </w:r>
      <w:r w:rsidR="001579D3" w:rsidRPr="009A1D8A">
        <w:rPr>
          <w:rFonts w:ascii="Times New Roman" w:hAnsi="Times New Roman"/>
        </w:rPr>
        <w:t>...</w:t>
      </w:r>
      <w:r w:rsidR="001579D3">
        <w:rPr>
          <w:rFonts w:ascii="Times New Roman" w:hAnsi="Times New Roman"/>
        </w:rPr>
        <w:t>”)</w:t>
      </w:r>
      <w:r w:rsidR="001579D3" w:rsidRPr="009A1D8A">
        <w:rPr>
          <w:rFonts w:ascii="Times New Roman" w:hAnsi="Times New Roman"/>
        </w:rPr>
        <w:t xml:space="preserve"> </w:t>
      </w:r>
    </w:p>
    <w:p w14:paraId="0E14DD5C" w14:textId="44DC2EA3" w:rsidR="00840393" w:rsidRPr="002208A3" w:rsidRDefault="00840393" w:rsidP="00AF2B85">
      <w:pPr>
        <w:spacing w:line="480" w:lineRule="auto"/>
        <w:rPr>
          <w:rFonts w:ascii="Times New Roman" w:hAnsi="Times New Roman"/>
        </w:rPr>
      </w:pPr>
      <w:r w:rsidRPr="002208A3">
        <w:rPr>
          <w:rFonts w:ascii="Times New Roman" w:hAnsi="Times New Roman"/>
        </w:rPr>
        <w:tab/>
      </w:r>
      <w:r w:rsidR="009500DB" w:rsidRPr="002208A3">
        <w:rPr>
          <w:rFonts w:ascii="Times New Roman" w:hAnsi="Times New Roman"/>
        </w:rPr>
        <w:t>After the summary</w:t>
      </w:r>
      <w:r w:rsidR="001579D3">
        <w:rPr>
          <w:rFonts w:ascii="Times New Roman" w:hAnsi="Times New Roman"/>
        </w:rPr>
        <w:t xml:space="preserve"> at the end of this first block of 20 rounds</w:t>
      </w:r>
      <w:r w:rsidR="009500DB" w:rsidRPr="002208A3">
        <w:rPr>
          <w:rFonts w:ascii="Times New Roman" w:hAnsi="Times New Roman"/>
        </w:rPr>
        <w:t xml:space="preserve">, participants </w:t>
      </w:r>
      <w:r w:rsidR="001579D3">
        <w:rPr>
          <w:rFonts w:ascii="Times New Roman" w:hAnsi="Times New Roman"/>
        </w:rPr>
        <w:t xml:space="preserve">in all conditions </w:t>
      </w:r>
      <w:r w:rsidR="009500DB" w:rsidRPr="002208A3">
        <w:rPr>
          <w:rFonts w:ascii="Times New Roman" w:hAnsi="Times New Roman"/>
        </w:rPr>
        <w:t>were again randomly paired with a counterpart (with replacement), and played another block. After completing all 4 blocks</w:t>
      </w:r>
      <w:r w:rsidR="001579D3">
        <w:rPr>
          <w:rFonts w:ascii="Times New Roman" w:hAnsi="Times New Roman"/>
        </w:rPr>
        <w:t xml:space="preserve"> of 20 rounds each</w:t>
      </w:r>
      <w:r w:rsidR="009500DB" w:rsidRPr="002208A3">
        <w:rPr>
          <w:rFonts w:ascii="Times New Roman" w:hAnsi="Times New Roman"/>
        </w:rPr>
        <w:t xml:space="preserve">, participants were asked </w:t>
      </w:r>
      <w:r w:rsidR="001579D3">
        <w:rPr>
          <w:rFonts w:ascii="Times New Roman" w:hAnsi="Times New Roman"/>
        </w:rPr>
        <w:t>“</w:t>
      </w:r>
      <w:r w:rsidR="009500DB" w:rsidRPr="002208A3">
        <w:rPr>
          <w:rFonts w:ascii="Times New Roman" w:hAnsi="Times New Roman"/>
        </w:rPr>
        <w:t>What are your thoughts on playing the game? Please give a brief summary of why you chose to invest or not invest</w:t>
      </w:r>
      <w:r w:rsidR="001579D3" w:rsidRPr="002208A3">
        <w:rPr>
          <w:rFonts w:ascii="Times New Roman" w:hAnsi="Times New Roman"/>
        </w:rPr>
        <w:t>:</w:t>
      </w:r>
      <w:r w:rsidR="001579D3">
        <w:rPr>
          <w:rFonts w:ascii="Times New Roman" w:hAnsi="Times New Roman"/>
        </w:rPr>
        <w:t>”</w:t>
      </w:r>
      <w:r w:rsidR="001579D3" w:rsidRPr="002208A3">
        <w:rPr>
          <w:rFonts w:ascii="Times New Roman" w:hAnsi="Times New Roman"/>
        </w:rPr>
        <w:t xml:space="preserve">, </w:t>
      </w:r>
      <w:r w:rsidR="009500DB" w:rsidRPr="002208A3">
        <w:rPr>
          <w:rFonts w:ascii="Times New Roman" w:hAnsi="Times New Roman"/>
        </w:rPr>
        <w:t xml:space="preserve">as well as a number of demographic questions. </w:t>
      </w:r>
      <w:r w:rsidR="00A80C79" w:rsidRPr="002208A3">
        <w:rPr>
          <w:rFonts w:ascii="Times New Roman" w:hAnsi="Times New Roman"/>
        </w:rPr>
        <w:t>In the stochastic conditions, there</w:t>
      </w:r>
      <w:r w:rsidR="00C40B32" w:rsidRPr="002208A3">
        <w:rPr>
          <w:rFonts w:ascii="Times New Roman" w:hAnsi="Times New Roman"/>
        </w:rPr>
        <w:t xml:space="preserve"> was also a question about probability, </w:t>
      </w:r>
      <w:r w:rsidR="001579D3">
        <w:rPr>
          <w:rFonts w:ascii="Times New Roman" w:hAnsi="Times New Roman"/>
        </w:rPr>
        <w:t>“</w:t>
      </w:r>
      <w:r w:rsidR="00C40B32" w:rsidRPr="002208A3">
        <w:rPr>
          <w:rFonts w:ascii="Times New Roman" w:hAnsi="Times New Roman"/>
        </w:rPr>
        <w:t xml:space="preserve">With no investment in protection, what do you think is the likelihood that a loss would occur at least once in 20 </w:t>
      </w:r>
      <w:r w:rsidR="00C40B32" w:rsidRPr="002208A3">
        <w:rPr>
          <w:rFonts w:ascii="Times New Roman" w:hAnsi="Times New Roman"/>
        </w:rPr>
        <w:lastRenderedPageBreak/>
        <w:t>rounds? _____ out of 100</w:t>
      </w:r>
      <w:r w:rsidR="001579D3" w:rsidRPr="002208A3">
        <w:rPr>
          <w:rFonts w:ascii="Times New Roman" w:hAnsi="Times New Roman"/>
        </w:rPr>
        <w:t>.</w:t>
      </w:r>
      <w:r w:rsidR="001579D3">
        <w:rPr>
          <w:rFonts w:ascii="Times New Roman" w:hAnsi="Times New Roman"/>
        </w:rPr>
        <w:t>”</w:t>
      </w:r>
      <w:r w:rsidR="001579D3" w:rsidRPr="002208A3">
        <w:rPr>
          <w:rFonts w:ascii="Times New Roman" w:hAnsi="Times New Roman"/>
        </w:rPr>
        <w:t xml:space="preserve"> </w:t>
      </w:r>
      <w:r w:rsidR="006116CB" w:rsidRPr="002208A3">
        <w:rPr>
          <w:rFonts w:ascii="Times New Roman" w:hAnsi="Times New Roman"/>
        </w:rPr>
        <w:t xml:space="preserve">Finally, one block was randomly selected and each participant was paid accordingly. </w:t>
      </w:r>
    </w:p>
    <w:p w14:paraId="517CC765" w14:textId="77777777" w:rsidR="0015684D" w:rsidRPr="002208A3" w:rsidRDefault="0015684D" w:rsidP="00AF2B85">
      <w:pPr>
        <w:spacing w:line="480" w:lineRule="auto"/>
        <w:rPr>
          <w:rFonts w:ascii="Times New Roman" w:hAnsi="Times New Roman"/>
        </w:rPr>
      </w:pPr>
    </w:p>
    <w:p w14:paraId="3AFA57A4" w14:textId="77777777" w:rsidR="009B47AE" w:rsidRPr="002208A3" w:rsidRDefault="009B47AE" w:rsidP="00AF2B85">
      <w:pPr>
        <w:spacing w:line="480" w:lineRule="auto"/>
        <w:rPr>
          <w:rFonts w:ascii="Times New Roman" w:hAnsi="Times New Roman"/>
          <w:i/>
        </w:rPr>
      </w:pPr>
      <w:r w:rsidRPr="002208A3">
        <w:rPr>
          <w:rFonts w:ascii="Times New Roman" w:hAnsi="Times New Roman"/>
          <w:i/>
        </w:rPr>
        <w:t>Study 1: Results</w:t>
      </w:r>
    </w:p>
    <w:p w14:paraId="31010246" w14:textId="5497EB75" w:rsidR="00030E08" w:rsidRPr="00092678" w:rsidRDefault="00A66A01" w:rsidP="00092678">
      <w:pPr>
        <w:spacing w:line="480" w:lineRule="auto"/>
        <w:rPr>
          <w:rFonts w:ascii="Times New Roman" w:hAnsi="Times New Roman"/>
          <w:u w:val="single"/>
        </w:rPr>
      </w:pPr>
      <w:r w:rsidRPr="002208A3">
        <w:rPr>
          <w:rFonts w:ascii="Times New Roman" w:hAnsi="Times New Roman"/>
        </w:rPr>
        <w:tab/>
      </w:r>
      <w:r w:rsidR="006D60E7" w:rsidRPr="002208A3">
        <w:rPr>
          <w:rFonts w:ascii="Times New Roman" w:hAnsi="Times New Roman"/>
        </w:rPr>
        <w:t xml:space="preserve"> </w:t>
      </w:r>
      <w:r w:rsidR="001579D3">
        <w:rPr>
          <w:rFonts w:ascii="Times New Roman" w:hAnsi="Times New Roman"/>
        </w:rPr>
        <w:t>Mean</w:t>
      </w:r>
      <w:r w:rsidR="001579D3" w:rsidRPr="002208A3">
        <w:rPr>
          <w:rFonts w:ascii="Times New Roman" w:hAnsi="Times New Roman"/>
        </w:rPr>
        <w:t xml:space="preserve"> </w:t>
      </w:r>
      <w:r w:rsidR="00DB3D80" w:rsidRPr="002208A3">
        <w:rPr>
          <w:rFonts w:ascii="Times New Roman" w:hAnsi="Times New Roman"/>
        </w:rPr>
        <w:t xml:space="preserve">investment rates were computed for each participant </w:t>
      </w:r>
      <w:r w:rsidR="001579D3">
        <w:rPr>
          <w:rFonts w:ascii="Times New Roman" w:hAnsi="Times New Roman"/>
        </w:rPr>
        <w:t>for</w:t>
      </w:r>
      <w:r w:rsidR="001579D3" w:rsidRPr="002208A3">
        <w:rPr>
          <w:rFonts w:ascii="Times New Roman" w:hAnsi="Times New Roman"/>
        </w:rPr>
        <w:t xml:space="preserve"> </w:t>
      </w:r>
      <w:r w:rsidR="00DB3D80" w:rsidRPr="002208A3">
        <w:rPr>
          <w:rFonts w:ascii="Times New Roman" w:hAnsi="Times New Roman"/>
        </w:rPr>
        <w:t>each block of 20 rounds</w:t>
      </w:r>
      <w:r w:rsidR="00AA2CEE">
        <w:rPr>
          <w:rFonts w:ascii="Times New Roman" w:hAnsi="Times New Roman"/>
        </w:rPr>
        <w:t>, and are summarized in Figure 1.</w:t>
      </w:r>
      <w:r w:rsidR="001579D3">
        <w:rPr>
          <w:rFonts w:ascii="Times New Roman" w:hAnsi="Times New Roman"/>
        </w:rPr>
        <w:t xml:space="preserve"> </w:t>
      </w:r>
      <w:r w:rsidR="00465BF7">
        <w:rPr>
          <w:rFonts w:ascii="Times New Roman" w:hAnsi="Times New Roman"/>
        </w:rPr>
        <w:t xml:space="preserve">As seen there, </w:t>
      </w:r>
      <w:r w:rsidR="00465BF7" w:rsidRPr="002208A3">
        <w:rPr>
          <w:rFonts w:ascii="Times New Roman" w:hAnsi="Times New Roman"/>
        </w:rPr>
        <w:t>investment rates were highest in the repeated deterministic condition (at .80) and lowest in the repeated stochastic condition (at .29), with the precommitted stochastic condition in the middle (at .48)</w:t>
      </w:r>
      <w:r w:rsidR="00646C97">
        <w:rPr>
          <w:rFonts w:ascii="Times New Roman" w:hAnsi="Times New Roman"/>
        </w:rPr>
        <w:t>, and the difference between the DPD and SPD conditions grew larger across the four blocks of trials</w:t>
      </w:r>
      <w:r w:rsidR="00465BF7">
        <w:rPr>
          <w:rFonts w:ascii="Times New Roman" w:hAnsi="Times New Roman"/>
        </w:rPr>
        <w:t xml:space="preserve">. </w:t>
      </w:r>
      <w:r w:rsidR="0049400A">
        <w:rPr>
          <w:rFonts w:ascii="Times New Roman" w:hAnsi="Times New Roman"/>
        </w:rPr>
        <w:t xml:space="preserve">To model participants’ dichotomous choices and account for correlated responses between paired participants, we ran a logistic regression mixed model with condition </w:t>
      </w:r>
      <w:r w:rsidR="0049400A" w:rsidRPr="0049400A">
        <w:rPr>
          <w:rFonts w:ascii="Times New Roman" w:hAnsi="Times New Roman"/>
        </w:rPr>
        <w:t>(SPD-rep, SPD-pre, or DPD-rep</w:t>
      </w:r>
      <w:r w:rsidR="002230B8">
        <w:rPr>
          <w:rFonts w:ascii="Times New Roman" w:hAnsi="Times New Roman"/>
        </w:rPr>
        <w:t>; using SPD-rep as the reference group</w:t>
      </w:r>
      <w:r w:rsidR="0049400A" w:rsidRPr="0049400A">
        <w:rPr>
          <w:rFonts w:ascii="Times New Roman" w:hAnsi="Times New Roman"/>
        </w:rPr>
        <w:t>)</w:t>
      </w:r>
      <w:r w:rsidR="0049400A">
        <w:rPr>
          <w:rFonts w:ascii="Times New Roman" w:hAnsi="Times New Roman"/>
        </w:rPr>
        <w:t>, block number (continuous</w:t>
      </w:r>
      <w:r w:rsidR="00725E9F">
        <w:rPr>
          <w:rFonts w:ascii="Times New Roman" w:hAnsi="Times New Roman"/>
        </w:rPr>
        <w:t>, mean-centered</w:t>
      </w:r>
      <w:r w:rsidR="0049400A">
        <w:rPr>
          <w:rFonts w:ascii="Times New Roman" w:hAnsi="Times New Roman"/>
        </w:rPr>
        <w:t xml:space="preserve">), the interaction of condition and block number as fixed effects, and participant id and partner id </w:t>
      </w:r>
      <w:r w:rsidR="000E2BFE">
        <w:rPr>
          <w:rFonts w:ascii="Times New Roman" w:hAnsi="Times New Roman"/>
        </w:rPr>
        <w:t xml:space="preserve">as random effects. We report </w:t>
      </w:r>
      <w:r w:rsidR="00F5185B">
        <w:rPr>
          <w:rFonts w:ascii="Times New Roman" w:hAnsi="Times New Roman"/>
        </w:rPr>
        <w:t>only the focal</w:t>
      </w:r>
      <w:r w:rsidR="000E2BFE">
        <w:rPr>
          <w:rFonts w:ascii="Times New Roman" w:hAnsi="Times New Roman"/>
        </w:rPr>
        <w:t xml:space="preserve"> results here, and complete syntax and output are available at </w:t>
      </w:r>
      <w:hyperlink r:id="rId10" w:history="1">
        <w:r w:rsidR="000E2BFE" w:rsidRPr="00A6603C">
          <w:rPr>
            <w:rStyle w:val="Hyperlink"/>
            <w:rFonts w:ascii="Times New Roman" w:hAnsi="Times New Roman"/>
          </w:rPr>
          <w:t>https://osf.io/jfmte/?view_only=825938bb4c7547b195da865986ab919f</w:t>
        </w:r>
      </w:hyperlink>
    </w:p>
    <w:p w14:paraId="0EC10D27" w14:textId="24232175" w:rsidR="006D60E7" w:rsidRPr="002208A3" w:rsidRDefault="000E2BFE" w:rsidP="00AF2B85">
      <w:pPr>
        <w:spacing w:line="480" w:lineRule="auto"/>
        <w:rPr>
          <w:rFonts w:ascii="Times New Roman" w:hAnsi="Times New Roman"/>
        </w:rPr>
      </w:pPr>
      <w:r>
        <w:rPr>
          <w:rFonts w:ascii="Times New Roman" w:hAnsi="Times New Roman"/>
        </w:rPr>
        <w:tab/>
        <w:t xml:space="preserve">The logistic mixed model </w:t>
      </w:r>
      <w:r w:rsidR="00F5185B">
        <w:rPr>
          <w:rFonts w:ascii="Times New Roman" w:hAnsi="Times New Roman"/>
        </w:rPr>
        <w:t xml:space="preserve">confirmed H1a, finding that players cooperated </w:t>
      </w:r>
      <w:r w:rsidR="008C48D3">
        <w:rPr>
          <w:rFonts w:ascii="Times New Roman" w:hAnsi="Times New Roman"/>
        </w:rPr>
        <w:t>more</w:t>
      </w:r>
      <w:r w:rsidR="00F5185B">
        <w:rPr>
          <w:rFonts w:ascii="Times New Roman" w:hAnsi="Times New Roman"/>
        </w:rPr>
        <w:t xml:space="preserve"> in the </w:t>
      </w:r>
      <w:r w:rsidR="008C48D3">
        <w:rPr>
          <w:rFonts w:ascii="Times New Roman" w:hAnsi="Times New Roman"/>
        </w:rPr>
        <w:t>D</w:t>
      </w:r>
      <w:r w:rsidR="00F5185B">
        <w:rPr>
          <w:rFonts w:ascii="Times New Roman" w:hAnsi="Times New Roman"/>
        </w:rPr>
        <w:t>PD</w:t>
      </w:r>
      <w:r w:rsidR="008C48D3">
        <w:rPr>
          <w:rFonts w:ascii="Times New Roman" w:hAnsi="Times New Roman"/>
        </w:rPr>
        <w:t>-rep condition</w:t>
      </w:r>
      <w:r w:rsidR="00F5185B">
        <w:rPr>
          <w:rFonts w:ascii="Times New Roman" w:hAnsi="Times New Roman"/>
        </w:rPr>
        <w:t xml:space="preserve"> than in the </w:t>
      </w:r>
      <w:r w:rsidR="008C48D3">
        <w:rPr>
          <w:rFonts w:ascii="Times New Roman" w:hAnsi="Times New Roman"/>
        </w:rPr>
        <w:t>S</w:t>
      </w:r>
      <w:r w:rsidR="00F5185B">
        <w:rPr>
          <w:rFonts w:ascii="Times New Roman" w:hAnsi="Times New Roman"/>
        </w:rPr>
        <w:t>PD</w:t>
      </w:r>
      <w:r w:rsidR="008C48D3">
        <w:rPr>
          <w:rFonts w:ascii="Times New Roman" w:hAnsi="Times New Roman"/>
        </w:rPr>
        <w:t>-rep condition</w:t>
      </w:r>
      <w:r w:rsidR="00F5185B">
        <w:rPr>
          <w:rFonts w:ascii="Times New Roman" w:hAnsi="Times New Roman"/>
        </w:rPr>
        <w:t xml:space="preserve">, </w:t>
      </w:r>
      <w:r w:rsidR="00F5185B" w:rsidRPr="00F5185B">
        <w:rPr>
          <w:rFonts w:ascii="Times New Roman" w:hAnsi="Times New Roman"/>
        </w:rPr>
        <w:t>B=</w:t>
      </w:r>
      <w:r w:rsidR="00E26D6E">
        <w:rPr>
          <w:rFonts w:ascii="Times New Roman" w:hAnsi="Times New Roman"/>
        </w:rPr>
        <w:t>3.96</w:t>
      </w:r>
      <w:r w:rsidR="00F5185B" w:rsidRPr="00F5185B">
        <w:rPr>
          <w:rFonts w:ascii="Times New Roman" w:hAnsi="Times New Roman"/>
        </w:rPr>
        <w:t>, SE=</w:t>
      </w:r>
      <w:r w:rsidR="00E26D6E">
        <w:rPr>
          <w:rFonts w:ascii="Times New Roman" w:hAnsi="Times New Roman"/>
        </w:rPr>
        <w:t>0.85</w:t>
      </w:r>
      <w:r w:rsidR="00F5185B" w:rsidRPr="00F5185B">
        <w:rPr>
          <w:rFonts w:ascii="Times New Roman" w:hAnsi="Times New Roman"/>
        </w:rPr>
        <w:t>, p</w:t>
      </w:r>
      <w:r w:rsidR="00E26D6E">
        <w:rPr>
          <w:rFonts w:ascii="Times New Roman" w:hAnsi="Times New Roman"/>
        </w:rPr>
        <w:t>&lt;.001</w:t>
      </w:r>
      <w:r w:rsidR="00F5185B" w:rsidRPr="00F5185B">
        <w:rPr>
          <w:rFonts w:ascii="Times New Roman" w:hAnsi="Times New Roman"/>
        </w:rPr>
        <w:t>, OR=</w:t>
      </w:r>
      <w:r w:rsidR="00E26D6E">
        <w:rPr>
          <w:rFonts w:ascii="Times New Roman" w:hAnsi="Times New Roman"/>
        </w:rPr>
        <w:t>4.68</w:t>
      </w:r>
      <w:r w:rsidR="008C48D3">
        <w:rPr>
          <w:rFonts w:ascii="Times New Roman" w:hAnsi="Times New Roman"/>
        </w:rPr>
        <w:t xml:space="preserve">, and confirmed H1b, finding that players cooperated more in the SPD-pre condition than in the SPD-rep condition, </w:t>
      </w:r>
      <w:r w:rsidR="008C48D3" w:rsidRPr="008C48D3">
        <w:rPr>
          <w:rFonts w:ascii="Times New Roman" w:hAnsi="Times New Roman"/>
        </w:rPr>
        <w:t>B=</w:t>
      </w:r>
      <w:r w:rsidR="00E26D6E">
        <w:rPr>
          <w:rFonts w:ascii="Times New Roman" w:hAnsi="Times New Roman"/>
        </w:rPr>
        <w:t>1.82</w:t>
      </w:r>
      <w:r w:rsidR="008C48D3" w:rsidRPr="008C48D3">
        <w:rPr>
          <w:rFonts w:ascii="Times New Roman" w:hAnsi="Times New Roman"/>
        </w:rPr>
        <w:t>, SE=</w:t>
      </w:r>
      <w:r w:rsidR="00E26D6E">
        <w:rPr>
          <w:rFonts w:ascii="Times New Roman" w:hAnsi="Times New Roman"/>
        </w:rPr>
        <w:t>0.85</w:t>
      </w:r>
      <w:r w:rsidR="008C48D3" w:rsidRPr="008C48D3">
        <w:rPr>
          <w:rFonts w:ascii="Times New Roman" w:hAnsi="Times New Roman"/>
        </w:rPr>
        <w:t>, p=</w:t>
      </w:r>
      <w:r w:rsidR="00E26D6E">
        <w:rPr>
          <w:rFonts w:ascii="Times New Roman" w:hAnsi="Times New Roman"/>
        </w:rPr>
        <w:t>.03</w:t>
      </w:r>
      <w:r w:rsidR="008C48D3" w:rsidRPr="008C48D3">
        <w:rPr>
          <w:rFonts w:ascii="Times New Roman" w:hAnsi="Times New Roman"/>
        </w:rPr>
        <w:t>, OR=</w:t>
      </w:r>
      <w:r w:rsidR="00E26D6E">
        <w:rPr>
          <w:rFonts w:ascii="Times New Roman" w:hAnsi="Times New Roman"/>
        </w:rPr>
        <w:t>2.14</w:t>
      </w:r>
      <w:r w:rsidR="008C48D3">
        <w:rPr>
          <w:rFonts w:ascii="Times New Roman" w:hAnsi="Times New Roman"/>
        </w:rPr>
        <w:t xml:space="preserve">. Furthermore, </w:t>
      </w:r>
      <w:r w:rsidR="001E045B">
        <w:rPr>
          <w:rFonts w:ascii="Times New Roman" w:hAnsi="Times New Roman"/>
        </w:rPr>
        <w:t>significant effects of block number and block by condition interactions</w:t>
      </w:r>
      <w:r w:rsidR="008C48D3">
        <w:rPr>
          <w:rFonts w:ascii="Times New Roman" w:hAnsi="Times New Roman"/>
        </w:rPr>
        <w:t xml:space="preserve"> (all </w:t>
      </w:r>
      <w:r w:rsidR="008C48D3" w:rsidRPr="00092678">
        <w:rPr>
          <w:rFonts w:ascii="Times New Roman" w:hAnsi="Times New Roman"/>
          <w:i/>
          <w:iCs/>
        </w:rPr>
        <w:t>p</w:t>
      </w:r>
      <w:r w:rsidR="008C48D3">
        <w:rPr>
          <w:rFonts w:ascii="Times New Roman" w:hAnsi="Times New Roman"/>
        </w:rPr>
        <w:t>&lt;</w:t>
      </w:r>
      <w:r w:rsidR="00E26D6E">
        <w:rPr>
          <w:rFonts w:ascii="Times New Roman" w:hAnsi="Times New Roman"/>
        </w:rPr>
        <w:t>.04</w:t>
      </w:r>
      <w:r w:rsidR="00F1052B">
        <w:rPr>
          <w:rFonts w:ascii="Times New Roman" w:hAnsi="Times New Roman"/>
        </w:rPr>
        <w:t xml:space="preserve"> or lower</w:t>
      </w:r>
      <w:r w:rsidR="008C48D3">
        <w:rPr>
          <w:rFonts w:ascii="Times New Roman" w:hAnsi="Times New Roman"/>
        </w:rPr>
        <w:t xml:space="preserve">) </w:t>
      </w:r>
      <w:r w:rsidR="00506825">
        <w:rPr>
          <w:rFonts w:ascii="Times New Roman" w:hAnsi="Times New Roman"/>
        </w:rPr>
        <w:t xml:space="preserve">reflected the fact that cooperation rates in the two SPD conditions </w:t>
      </w:r>
      <w:r w:rsidR="00CA00B4">
        <w:rPr>
          <w:rFonts w:ascii="Times New Roman" w:hAnsi="Times New Roman"/>
        </w:rPr>
        <w:lastRenderedPageBreak/>
        <w:t>trended</w:t>
      </w:r>
      <w:r w:rsidR="00506825">
        <w:rPr>
          <w:rFonts w:ascii="Times New Roman" w:hAnsi="Times New Roman"/>
        </w:rPr>
        <w:t xml:space="preserve"> down over the four blocks, while the DPD condition </w:t>
      </w:r>
      <w:r w:rsidR="00CA00B4">
        <w:rPr>
          <w:rFonts w:ascii="Times New Roman" w:hAnsi="Times New Roman"/>
        </w:rPr>
        <w:t>trended up</w:t>
      </w:r>
      <w:r w:rsidR="001E045B">
        <w:rPr>
          <w:rFonts w:ascii="Times New Roman" w:hAnsi="Times New Roman"/>
        </w:rPr>
        <w:t xml:space="preserve"> over the four blocks</w:t>
      </w:r>
      <w:r w:rsidR="00506825">
        <w:rPr>
          <w:rFonts w:ascii="Times New Roman" w:hAnsi="Times New Roman"/>
        </w:rPr>
        <w:t xml:space="preserve">. </w:t>
      </w:r>
    </w:p>
    <w:p w14:paraId="1F223CDA" w14:textId="4B75E99A" w:rsidR="00A54A49" w:rsidRPr="002208A3" w:rsidRDefault="00A54A49" w:rsidP="00AF2B85">
      <w:pPr>
        <w:spacing w:line="480" w:lineRule="auto"/>
        <w:rPr>
          <w:rFonts w:ascii="Times New Roman" w:hAnsi="Times New Roman"/>
          <w:i/>
        </w:rPr>
      </w:pPr>
      <w:r w:rsidRPr="002208A3">
        <w:rPr>
          <w:rFonts w:ascii="Times New Roman" w:hAnsi="Times New Roman"/>
          <w:i/>
        </w:rPr>
        <w:t xml:space="preserve">Figure </w:t>
      </w:r>
      <w:r w:rsidR="00C072B4">
        <w:rPr>
          <w:rFonts w:ascii="Times New Roman" w:hAnsi="Times New Roman"/>
          <w:i/>
        </w:rPr>
        <w:t>1</w:t>
      </w:r>
      <w:r w:rsidRPr="002208A3">
        <w:rPr>
          <w:rFonts w:ascii="Times New Roman" w:hAnsi="Times New Roman"/>
          <w:i/>
        </w:rPr>
        <w:t xml:space="preserve">: </w:t>
      </w:r>
      <w:r w:rsidR="00B92AF3">
        <w:rPr>
          <w:rFonts w:ascii="Times New Roman" w:hAnsi="Times New Roman"/>
          <w:i/>
        </w:rPr>
        <w:t>Mean</w:t>
      </w:r>
      <w:r w:rsidR="00115BCC">
        <w:rPr>
          <w:rFonts w:ascii="Times New Roman" w:hAnsi="Times New Roman"/>
          <w:i/>
        </w:rPr>
        <w:t xml:space="preserve"> p</w:t>
      </w:r>
      <w:r w:rsidR="00115BCC" w:rsidRPr="002208A3">
        <w:rPr>
          <w:rFonts w:ascii="Times New Roman" w:hAnsi="Times New Roman"/>
          <w:i/>
        </w:rPr>
        <w:t xml:space="preserve">roportion </w:t>
      </w:r>
      <w:r w:rsidRPr="002208A3">
        <w:rPr>
          <w:rFonts w:ascii="Times New Roman" w:hAnsi="Times New Roman"/>
          <w:i/>
        </w:rPr>
        <w:t xml:space="preserve">investing against loss </w:t>
      </w:r>
      <w:r w:rsidR="00115BCC">
        <w:rPr>
          <w:rFonts w:ascii="Times New Roman" w:hAnsi="Times New Roman"/>
          <w:i/>
        </w:rPr>
        <w:t xml:space="preserve">in each of the four blocks </w:t>
      </w:r>
      <w:r w:rsidRPr="002208A3">
        <w:rPr>
          <w:rFonts w:ascii="Times New Roman" w:hAnsi="Times New Roman"/>
          <w:i/>
        </w:rPr>
        <w:t xml:space="preserve">in </w:t>
      </w:r>
      <w:r w:rsidR="00EE066C">
        <w:rPr>
          <w:rFonts w:ascii="Times New Roman" w:hAnsi="Times New Roman"/>
          <w:i/>
        </w:rPr>
        <w:t xml:space="preserve">Study 1 in </w:t>
      </w:r>
      <w:r w:rsidRPr="002208A3">
        <w:rPr>
          <w:rFonts w:ascii="Times New Roman" w:hAnsi="Times New Roman"/>
          <w:i/>
        </w:rPr>
        <w:t>the repeated deterministic prisoner's dilemma (DPD-rep), repeated stochastic prisoner's dilemma (SPD-rep), and precommitted stochastic prisoner's dilemma (SPD-pre)</w:t>
      </w:r>
      <w:r w:rsidR="002C0F07" w:rsidRPr="002208A3">
        <w:rPr>
          <w:rFonts w:ascii="Times New Roman" w:hAnsi="Times New Roman"/>
          <w:i/>
        </w:rPr>
        <w:t xml:space="preserve"> conditions</w:t>
      </w:r>
      <w:r w:rsidRPr="002208A3">
        <w:rPr>
          <w:rFonts w:ascii="Times New Roman" w:hAnsi="Times New Roman"/>
          <w:i/>
        </w:rPr>
        <w:t xml:space="preserve">. </w:t>
      </w:r>
      <w:r w:rsidR="00A66A01" w:rsidRPr="002208A3">
        <w:rPr>
          <w:rFonts w:ascii="Times New Roman" w:hAnsi="Times New Roman"/>
          <w:i/>
        </w:rPr>
        <w:t xml:space="preserve">Each block represents 20 trials. </w:t>
      </w:r>
      <w:r w:rsidR="00A87E85" w:rsidRPr="002208A3">
        <w:rPr>
          <w:rFonts w:ascii="Times New Roman" w:hAnsi="Times New Roman"/>
          <w:i/>
        </w:rPr>
        <w:t xml:space="preserve">Error bars </w:t>
      </w:r>
      <w:r w:rsidR="00115BCC">
        <w:rPr>
          <w:rFonts w:ascii="Times New Roman" w:hAnsi="Times New Roman"/>
          <w:i/>
        </w:rPr>
        <w:t>show</w:t>
      </w:r>
      <w:r w:rsidR="00115BCC" w:rsidRPr="002208A3">
        <w:rPr>
          <w:rFonts w:ascii="Times New Roman" w:hAnsi="Times New Roman"/>
          <w:i/>
        </w:rPr>
        <w:t xml:space="preserve"> </w:t>
      </w:r>
      <w:r w:rsidR="00A87E85" w:rsidRPr="002208A3">
        <w:rPr>
          <w:rFonts w:ascii="Times New Roman" w:hAnsi="Times New Roman"/>
          <w:i/>
        </w:rPr>
        <w:t xml:space="preserve">+/- one standard error. </w:t>
      </w:r>
    </w:p>
    <w:p w14:paraId="37EA3ECC" w14:textId="0DC0E5BA" w:rsidR="007172BA" w:rsidRPr="002208A3" w:rsidRDefault="00DC44F4" w:rsidP="00AF2B85">
      <w:pPr>
        <w:spacing w:line="480" w:lineRule="auto"/>
        <w:rPr>
          <w:rFonts w:ascii="Times New Roman" w:hAnsi="Times New Roman"/>
        </w:rPr>
      </w:pPr>
      <w:r>
        <w:rPr>
          <w:rFonts w:ascii="Times New Roman" w:hAnsi="Times New Roman"/>
          <w:noProof/>
        </w:rPr>
        <w:drawing>
          <wp:inline distT="0" distB="0" distL="0" distR="0" wp14:anchorId="157DD056" wp14:editId="23E507C0">
            <wp:extent cx="5790753" cy="3935896"/>
            <wp:effectExtent l="0" t="0" r="635" b="0"/>
            <wp:docPr id="15019366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2865" cy="3944128"/>
                    </a:xfrm>
                    <a:prstGeom prst="rect">
                      <a:avLst/>
                    </a:prstGeom>
                    <a:noFill/>
                  </pic:spPr>
                </pic:pic>
              </a:graphicData>
            </a:graphic>
          </wp:inline>
        </w:drawing>
      </w:r>
    </w:p>
    <w:p w14:paraId="3077E5D0" w14:textId="02670D5A" w:rsidR="002815B1" w:rsidRPr="002208A3" w:rsidRDefault="002815B1" w:rsidP="00AF2B85">
      <w:pPr>
        <w:spacing w:line="480" w:lineRule="auto"/>
        <w:rPr>
          <w:rFonts w:ascii="Times New Roman" w:hAnsi="Times New Roman"/>
        </w:rPr>
      </w:pPr>
      <w:r w:rsidRPr="002208A3">
        <w:rPr>
          <w:rFonts w:ascii="Times New Roman" w:hAnsi="Times New Roman"/>
        </w:rPr>
        <w:tab/>
      </w:r>
      <w:r w:rsidR="00115BCC" w:rsidRPr="002208A3">
        <w:rPr>
          <w:rFonts w:ascii="Times New Roman" w:hAnsi="Times New Roman"/>
        </w:rPr>
        <w:t xml:space="preserve">Participants </w:t>
      </w:r>
      <w:r w:rsidR="00C76440">
        <w:rPr>
          <w:rFonts w:ascii="Times New Roman" w:hAnsi="Times New Roman"/>
        </w:rPr>
        <w:t xml:space="preserve">were fairly engaged in writing their </w:t>
      </w:r>
      <w:r w:rsidR="002D2AC3" w:rsidRPr="002208A3">
        <w:rPr>
          <w:rFonts w:ascii="Times New Roman" w:hAnsi="Times New Roman"/>
        </w:rPr>
        <w:t xml:space="preserve">free responses </w:t>
      </w:r>
      <w:r w:rsidR="00C76440">
        <w:rPr>
          <w:rFonts w:ascii="Times New Roman" w:hAnsi="Times New Roman"/>
        </w:rPr>
        <w:t xml:space="preserve">regarding “a brief summary of </w:t>
      </w:r>
      <w:r w:rsidR="00C76440" w:rsidRPr="002208A3">
        <w:rPr>
          <w:rFonts w:ascii="Times New Roman" w:hAnsi="Times New Roman"/>
        </w:rPr>
        <w:t>why you chose to invest or not invest</w:t>
      </w:r>
      <w:r w:rsidR="00C76440">
        <w:rPr>
          <w:rFonts w:ascii="Times New Roman" w:hAnsi="Times New Roman"/>
        </w:rPr>
        <w:t xml:space="preserve">” </w:t>
      </w:r>
      <w:r w:rsidR="002D2AC3" w:rsidRPr="002208A3">
        <w:rPr>
          <w:rFonts w:ascii="Times New Roman" w:hAnsi="Times New Roman"/>
        </w:rPr>
        <w:t>at the end of the study</w:t>
      </w:r>
      <w:r w:rsidR="00C76440">
        <w:rPr>
          <w:rFonts w:ascii="Times New Roman" w:hAnsi="Times New Roman"/>
        </w:rPr>
        <w:t xml:space="preserve">, writing an average of 36.59 words in 2.01 sentences. These open-ended responses </w:t>
      </w:r>
      <w:r w:rsidR="002D2AC3" w:rsidRPr="002208A3">
        <w:rPr>
          <w:rFonts w:ascii="Times New Roman" w:hAnsi="Times New Roman"/>
        </w:rPr>
        <w:t xml:space="preserve">were coded by two </w:t>
      </w:r>
      <w:r w:rsidR="00D51B07" w:rsidRPr="002208A3">
        <w:rPr>
          <w:rFonts w:ascii="Times New Roman" w:hAnsi="Times New Roman"/>
        </w:rPr>
        <w:t>independent coders</w:t>
      </w:r>
      <w:r w:rsidR="002D2AC3" w:rsidRPr="002208A3">
        <w:rPr>
          <w:rFonts w:ascii="Times New Roman" w:hAnsi="Times New Roman"/>
        </w:rPr>
        <w:t>, to classify whether they mentioned their counterpart or not</w:t>
      </w:r>
      <w:r w:rsidR="00106DCF" w:rsidRPr="002208A3">
        <w:rPr>
          <w:rFonts w:ascii="Times New Roman" w:hAnsi="Times New Roman"/>
        </w:rPr>
        <w:t xml:space="preserve">, and whether they mentioned </w:t>
      </w:r>
      <w:r w:rsidR="003D000E">
        <w:rPr>
          <w:rFonts w:ascii="Times New Roman" w:hAnsi="Times New Roman"/>
        </w:rPr>
        <w:t>probability</w:t>
      </w:r>
      <w:r w:rsidR="003D000E" w:rsidRPr="002208A3">
        <w:rPr>
          <w:rFonts w:ascii="Times New Roman" w:hAnsi="Times New Roman"/>
        </w:rPr>
        <w:t xml:space="preserve"> </w:t>
      </w:r>
      <w:r w:rsidR="00106DCF" w:rsidRPr="002208A3">
        <w:rPr>
          <w:rFonts w:ascii="Times New Roman" w:hAnsi="Times New Roman"/>
        </w:rPr>
        <w:t>or not</w:t>
      </w:r>
      <w:r w:rsidR="002D2AC3" w:rsidRPr="002208A3">
        <w:rPr>
          <w:rFonts w:ascii="Times New Roman" w:hAnsi="Times New Roman"/>
        </w:rPr>
        <w:t xml:space="preserve">. </w:t>
      </w:r>
      <w:r w:rsidR="008B35B9" w:rsidRPr="002208A3">
        <w:rPr>
          <w:rFonts w:ascii="Times New Roman" w:hAnsi="Times New Roman"/>
        </w:rPr>
        <w:t xml:space="preserve">The </w:t>
      </w:r>
      <w:r w:rsidR="00FC2C69" w:rsidRPr="002208A3">
        <w:rPr>
          <w:rFonts w:ascii="Times New Roman" w:hAnsi="Times New Roman"/>
        </w:rPr>
        <w:t xml:space="preserve">inter-rater reliability was quite </w:t>
      </w:r>
      <w:r w:rsidR="00C154F8">
        <w:rPr>
          <w:rFonts w:ascii="Times New Roman" w:hAnsi="Times New Roman"/>
        </w:rPr>
        <w:t>high</w:t>
      </w:r>
      <w:r w:rsidR="00FC2C69" w:rsidRPr="002208A3">
        <w:rPr>
          <w:rFonts w:ascii="Times New Roman" w:hAnsi="Times New Roman"/>
        </w:rPr>
        <w:t>, at a</w:t>
      </w:r>
      <w:r w:rsidR="008B35B9" w:rsidRPr="002208A3">
        <w:rPr>
          <w:rFonts w:ascii="Times New Roman" w:hAnsi="Times New Roman"/>
        </w:rPr>
        <w:t xml:space="preserve"> correlat</w:t>
      </w:r>
      <w:r w:rsidR="00FC2C69" w:rsidRPr="002208A3">
        <w:rPr>
          <w:rFonts w:ascii="Times New Roman" w:hAnsi="Times New Roman"/>
        </w:rPr>
        <w:t>ion of</w:t>
      </w:r>
      <w:r w:rsidR="008B35B9" w:rsidRPr="002208A3">
        <w:rPr>
          <w:rFonts w:ascii="Times New Roman" w:hAnsi="Times New Roman"/>
        </w:rPr>
        <w:t xml:space="preserve"> </w:t>
      </w:r>
      <w:r w:rsidR="008B35B9" w:rsidRPr="002208A3">
        <w:rPr>
          <w:rFonts w:ascii="Times New Roman" w:hAnsi="Times New Roman"/>
          <w:i/>
        </w:rPr>
        <w:t>r</w:t>
      </w:r>
      <w:r w:rsidR="008B35B9" w:rsidRPr="002208A3">
        <w:rPr>
          <w:rFonts w:ascii="Times New Roman" w:hAnsi="Times New Roman"/>
        </w:rPr>
        <w:t>=.9</w:t>
      </w:r>
      <w:r w:rsidR="00AB4917" w:rsidRPr="002208A3">
        <w:rPr>
          <w:rFonts w:ascii="Times New Roman" w:hAnsi="Times New Roman"/>
        </w:rPr>
        <w:t>5</w:t>
      </w:r>
      <w:r w:rsidR="00106DCF" w:rsidRPr="002208A3">
        <w:rPr>
          <w:rFonts w:ascii="Times New Roman" w:hAnsi="Times New Roman"/>
        </w:rPr>
        <w:t xml:space="preserve"> </w:t>
      </w:r>
      <w:r w:rsidR="00736225">
        <w:rPr>
          <w:rFonts w:ascii="Times New Roman" w:hAnsi="Times New Roman"/>
        </w:rPr>
        <w:t>(Cohen’s Kappa = .9</w:t>
      </w:r>
      <w:r w:rsidR="00E727BF">
        <w:rPr>
          <w:rFonts w:ascii="Times New Roman" w:hAnsi="Times New Roman"/>
        </w:rPr>
        <w:t>5</w:t>
      </w:r>
      <w:r w:rsidR="00736225">
        <w:rPr>
          <w:rFonts w:ascii="Times New Roman" w:hAnsi="Times New Roman"/>
        </w:rPr>
        <w:t>, SE = .0</w:t>
      </w:r>
      <w:r w:rsidR="00E727BF">
        <w:rPr>
          <w:rFonts w:ascii="Times New Roman" w:hAnsi="Times New Roman"/>
        </w:rPr>
        <w:t>3</w:t>
      </w:r>
      <w:r w:rsidR="00736225">
        <w:rPr>
          <w:rFonts w:ascii="Times New Roman" w:hAnsi="Times New Roman"/>
        </w:rPr>
        <w:t xml:space="preserve">) </w:t>
      </w:r>
      <w:r w:rsidR="00106DCF" w:rsidRPr="002208A3">
        <w:rPr>
          <w:rFonts w:ascii="Times New Roman" w:hAnsi="Times New Roman"/>
        </w:rPr>
        <w:t xml:space="preserve">for mentioning the counterpart and </w:t>
      </w:r>
      <w:r w:rsidR="00106DCF" w:rsidRPr="002208A3">
        <w:rPr>
          <w:rFonts w:ascii="Times New Roman" w:hAnsi="Times New Roman"/>
          <w:i/>
        </w:rPr>
        <w:lastRenderedPageBreak/>
        <w:t>r</w:t>
      </w:r>
      <w:r w:rsidR="00106DCF" w:rsidRPr="002208A3">
        <w:rPr>
          <w:rFonts w:ascii="Times New Roman" w:hAnsi="Times New Roman"/>
        </w:rPr>
        <w:t xml:space="preserve">=.91 </w:t>
      </w:r>
      <w:r w:rsidR="00736225">
        <w:rPr>
          <w:rFonts w:ascii="Times New Roman" w:hAnsi="Times New Roman"/>
        </w:rPr>
        <w:t>(Cohen’s Kappa = .9</w:t>
      </w:r>
      <w:r w:rsidR="00C96024">
        <w:rPr>
          <w:rFonts w:ascii="Times New Roman" w:hAnsi="Times New Roman"/>
        </w:rPr>
        <w:t>1</w:t>
      </w:r>
      <w:r w:rsidR="00736225">
        <w:rPr>
          <w:rFonts w:ascii="Times New Roman" w:hAnsi="Times New Roman"/>
        </w:rPr>
        <w:t xml:space="preserve">, SE = .05) </w:t>
      </w:r>
      <w:r w:rsidR="00106DCF" w:rsidRPr="002208A3">
        <w:rPr>
          <w:rFonts w:ascii="Times New Roman" w:hAnsi="Times New Roman"/>
        </w:rPr>
        <w:t xml:space="preserve">for mentioning </w:t>
      </w:r>
      <w:r w:rsidR="00EE066C">
        <w:rPr>
          <w:rFonts w:ascii="Times New Roman" w:hAnsi="Times New Roman"/>
        </w:rPr>
        <w:t>probability</w:t>
      </w:r>
      <w:r w:rsidR="00BA2FBC" w:rsidRPr="002208A3">
        <w:rPr>
          <w:rFonts w:ascii="Times New Roman" w:hAnsi="Times New Roman"/>
        </w:rPr>
        <w:t>.</w:t>
      </w:r>
      <w:r w:rsidR="00692732">
        <w:rPr>
          <w:rFonts w:ascii="Times New Roman" w:hAnsi="Times New Roman"/>
        </w:rPr>
        <w:t xml:space="preserve"> </w:t>
      </w:r>
      <w:r w:rsidR="00692732" w:rsidRPr="009A1D8A">
        <w:rPr>
          <w:rFonts w:ascii="Times New Roman" w:hAnsi="Times New Roman"/>
        </w:rPr>
        <w:t>In the cases of disagreement</w:t>
      </w:r>
      <w:r w:rsidR="00EE066C">
        <w:rPr>
          <w:rFonts w:ascii="Times New Roman" w:hAnsi="Times New Roman"/>
        </w:rPr>
        <w:t xml:space="preserve"> between raters</w:t>
      </w:r>
      <w:r w:rsidR="00692732" w:rsidRPr="009A1D8A">
        <w:rPr>
          <w:rFonts w:ascii="Times New Roman" w:hAnsi="Times New Roman"/>
        </w:rPr>
        <w:t xml:space="preserve">, we </w:t>
      </w:r>
      <w:r w:rsidR="003D000E">
        <w:rPr>
          <w:rFonts w:ascii="Times New Roman" w:hAnsi="Times New Roman"/>
        </w:rPr>
        <w:t>“</w:t>
      </w:r>
      <w:r w:rsidR="00692732" w:rsidRPr="009A1D8A">
        <w:rPr>
          <w:rFonts w:ascii="Times New Roman" w:hAnsi="Times New Roman"/>
        </w:rPr>
        <w:t>rounded up</w:t>
      </w:r>
      <w:r w:rsidR="003D000E">
        <w:rPr>
          <w:rFonts w:ascii="Times New Roman" w:hAnsi="Times New Roman"/>
        </w:rPr>
        <w:t>”</w:t>
      </w:r>
      <w:r w:rsidR="003D000E" w:rsidRPr="009A1D8A">
        <w:rPr>
          <w:rFonts w:ascii="Times New Roman" w:hAnsi="Times New Roman"/>
        </w:rPr>
        <w:t xml:space="preserve"> </w:t>
      </w:r>
      <w:r w:rsidR="00692732" w:rsidRPr="009A1D8A">
        <w:rPr>
          <w:rFonts w:ascii="Times New Roman" w:hAnsi="Times New Roman"/>
        </w:rPr>
        <w:t xml:space="preserve">and coded </w:t>
      </w:r>
      <w:r w:rsidR="00EE066C">
        <w:rPr>
          <w:rFonts w:ascii="Times New Roman" w:hAnsi="Times New Roman"/>
        </w:rPr>
        <w:t xml:space="preserve">the </w:t>
      </w:r>
      <w:r w:rsidR="00692732" w:rsidRPr="009A1D8A">
        <w:rPr>
          <w:rFonts w:ascii="Times New Roman" w:hAnsi="Times New Roman"/>
        </w:rPr>
        <w:t xml:space="preserve">participant as </w:t>
      </w:r>
      <w:r w:rsidR="00907FC7">
        <w:rPr>
          <w:rFonts w:ascii="Times New Roman" w:hAnsi="Times New Roman"/>
        </w:rPr>
        <w:t xml:space="preserve">indeed </w:t>
      </w:r>
      <w:r w:rsidR="00692732" w:rsidRPr="009A1D8A">
        <w:rPr>
          <w:rFonts w:ascii="Times New Roman" w:hAnsi="Times New Roman"/>
        </w:rPr>
        <w:t xml:space="preserve">having mentioned </w:t>
      </w:r>
      <w:r w:rsidR="00EE066C">
        <w:rPr>
          <w:rFonts w:ascii="Times New Roman" w:hAnsi="Times New Roman"/>
        </w:rPr>
        <w:t>that thing</w:t>
      </w:r>
      <w:r w:rsidR="00692732" w:rsidRPr="009A1D8A">
        <w:rPr>
          <w:rFonts w:ascii="Times New Roman" w:hAnsi="Times New Roman"/>
        </w:rPr>
        <w:t>. Also, in two cases, the coders agreed that the participant</w:t>
      </w:r>
      <w:r w:rsidR="00AD14F7">
        <w:rPr>
          <w:rFonts w:ascii="Times New Roman" w:hAnsi="Times New Roman"/>
        </w:rPr>
        <w:t>’</w:t>
      </w:r>
      <w:r w:rsidR="00692732" w:rsidRPr="009A1D8A">
        <w:rPr>
          <w:rFonts w:ascii="Times New Roman" w:hAnsi="Times New Roman"/>
        </w:rPr>
        <w:t xml:space="preserve">s free response was not codable, and so the coding was left blank. </w:t>
      </w:r>
    </w:p>
    <w:p w14:paraId="02B81DE7" w14:textId="1D0BBB1D" w:rsidR="00AB3BB8" w:rsidRPr="002208A3" w:rsidRDefault="00C874AD" w:rsidP="003E1DB5">
      <w:pPr>
        <w:spacing w:line="480" w:lineRule="auto"/>
        <w:rPr>
          <w:rFonts w:ascii="Times New Roman" w:hAnsi="Times New Roman"/>
        </w:rPr>
      </w:pPr>
      <w:r w:rsidRPr="002208A3">
        <w:rPr>
          <w:rFonts w:ascii="Times New Roman" w:hAnsi="Times New Roman"/>
        </w:rPr>
        <w:tab/>
        <w:t xml:space="preserve">As seen in Figure </w:t>
      </w:r>
      <w:r w:rsidR="00C072B4">
        <w:rPr>
          <w:rFonts w:ascii="Times New Roman" w:hAnsi="Times New Roman"/>
        </w:rPr>
        <w:t>2</w:t>
      </w:r>
      <w:r w:rsidRPr="002208A3">
        <w:rPr>
          <w:rFonts w:ascii="Times New Roman" w:hAnsi="Times New Roman"/>
        </w:rPr>
        <w:t xml:space="preserve">, participants were much </w:t>
      </w:r>
      <w:r w:rsidR="001A44EF" w:rsidRPr="002208A3">
        <w:rPr>
          <w:rFonts w:ascii="Times New Roman" w:hAnsi="Times New Roman"/>
        </w:rPr>
        <w:t>more</w:t>
      </w:r>
      <w:r w:rsidRPr="002208A3">
        <w:rPr>
          <w:rFonts w:ascii="Times New Roman" w:hAnsi="Times New Roman"/>
        </w:rPr>
        <w:t xml:space="preserve"> likely to mention their counterpart in the </w:t>
      </w:r>
      <w:r w:rsidR="001A44EF" w:rsidRPr="002208A3">
        <w:rPr>
          <w:rFonts w:ascii="Times New Roman" w:hAnsi="Times New Roman"/>
        </w:rPr>
        <w:t>deterministic version</w:t>
      </w:r>
      <w:r w:rsidR="00BB3FD3" w:rsidRPr="002208A3">
        <w:rPr>
          <w:rFonts w:ascii="Times New Roman" w:hAnsi="Times New Roman"/>
        </w:rPr>
        <w:t xml:space="preserve"> of the game</w:t>
      </w:r>
      <w:r w:rsidR="001D6C24" w:rsidRPr="002208A3">
        <w:rPr>
          <w:rFonts w:ascii="Times New Roman" w:hAnsi="Times New Roman"/>
        </w:rPr>
        <w:t xml:space="preserve">, </w:t>
      </w:r>
      <w:r w:rsidR="00252A63" w:rsidRPr="002208A3">
        <w:rPr>
          <w:rFonts w:ascii="Times New Roman" w:hAnsi="Times New Roman"/>
        </w:rPr>
        <w:t>but</w:t>
      </w:r>
      <w:r w:rsidR="001D6C24" w:rsidRPr="002208A3">
        <w:rPr>
          <w:rFonts w:ascii="Times New Roman" w:hAnsi="Times New Roman"/>
        </w:rPr>
        <w:t xml:space="preserve"> much more likely to mention probability in the stochastic versions of the game</w:t>
      </w:r>
      <w:r w:rsidR="00BB3FD3" w:rsidRPr="002208A3">
        <w:rPr>
          <w:rFonts w:ascii="Times New Roman" w:hAnsi="Times New Roman"/>
        </w:rPr>
        <w:t xml:space="preserve">. </w:t>
      </w:r>
      <w:r w:rsidR="001A44EF" w:rsidRPr="002208A3">
        <w:rPr>
          <w:rFonts w:ascii="Times New Roman" w:hAnsi="Times New Roman"/>
        </w:rPr>
        <w:t xml:space="preserve">97% of </w:t>
      </w:r>
      <w:r w:rsidR="00DF7E37" w:rsidRPr="002208A3">
        <w:rPr>
          <w:rFonts w:ascii="Times New Roman" w:hAnsi="Times New Roman"/>
        </w:rPr>
        <w:t xml:space="preserve">participants mentioned their counterpart in the deterministic </w:t>
      </w:r>
      <w:r w:rsidR="00366805" w:rsidRPr="002208A3">
        <w:rPr>
          <w:rFonts w:ascii="Times New Roman" w:hAnsi="Times New Roman"/>
        </w:rPr>
        <w:t>prisoner's dilemma</w:t>
      </w:r>
      <w:r w:rsidR="000F25E0" w:rsidRPr="002208A3">
        <w:rPr>
          <w:rFonts w:ascii="Times New Roman" w:hAnsi="Times New Roman"/>
        </w:rPr>
        <w:t xml:space="preserve"> (DPD-rep)</w:t>
      </w:r>
      <w:r w:rsidR="001A44EF" w:rsidRPr="002208A3">
        <w:rPr>
          <w:rFonts w:ascii="Times New Roman" w:hAnsi="Times New Roman"/>
        </w:rPr>
        <w:t xml:space="preserve">, compared with only 37% in the </w:t>
      </w:r>
      <w:r w:rsidR="000F25E0" w:rsidRPr="002208A3">
        <w:rPr>
          <w:rFonts w:ascii="Times New Roman" w:hAnsi="Times New Roman"/>
        </w:rPr>
        <w:t>repeated, stochastic game (SPD-rep) and 28% in the precommitted stochastic game (SPD-pre)</w:t>
      </w:r>
      <w:r w:rsidR="001A44EF" w:rsidRPr="002208A3">
        <w:rPr>
          <w:rFonts w:ascii="Times New Roman" w:hAnsi="Times New Roman"/>
        </w:rPr>
        <w:t>. A contrast-coded logistic regression</w:t>
      </w:r>
      <w:r w:rsidR="000F25E0" w:rsidRPr="002208A3">
        <w:rPr>
          <w:rFonts w:ascii="Times New Roman" w:hAnsi="Times New Roman"/>
        </w:rPr>
        <w:t xml:space="preserve"> confirmed that </w:t>
      </w:r>
      <w:r w:rsidR="00FE50DB" w:rsidRPr="002208A3">
        <w:rPr>
          <w:rFonts w:ascii="Times New Roman" w:hAnsi="Times New Roman"/>
        </w:rPr>
        <w:t xml:space="preserve">while </w:t>
      </w:r>
      <w:r w:rsidR="000F25E0" w:rsidRPr="002208A3">
        <w:rPr>
          <w:rFonts w:ascii="Times New Roman" w:hAnsi="Times New Roman"/>
        </w:rPr>
        <w:t>the proportion</w:t>
      </w:r>
      <w:r w:rsidR="00AF33B5">
        <w:rPr>
          <w:rFonts w:ascii="Times New Roman" w:hAnsi="Times New Roman"/>
        </w:rPr>
        <w:t xml:space="preserve"> mentioning their counterpart</w:t>
      </w:r>
      <w:r w:rsidR="000F25E0" w:rsidRPr="002208A3">
        <w:rPr>
          <w:rFonts w:ascii="Times New Roman" w:hAnsi="Times New Roman"/>
        </w:rPr>
        <w:t xml:space="preserve"> in the DPD-rep</w:t>
      </w:r>
      <w:r w:rsidR="001A44EF" w:rsidRPr="002208A3">
        <w:rPr>
          <w:rFonts w:ascii="Times New Roman" w:hAnsi="Times New Roman"/>
        </w:rPr>
        <w:t xml:space="preserve"> </w:t>
      </w:r>
      <w:r w:rsidR="00FE50DB" w:rsidRPr="002208A3">
        <w:rPr>
          <w:rFonts w:ascii="Times New Roman" w:hAnsi="Times New Roman"/>
        </w:rPr>
        <w:t xml:space="preserve">was </w:t>
      </w:r>
      <w:r w:rsidR="001A44EF" w:rsidRPr="002208A3">
        <w:rPr>
          <w:rFonts w:ascii="Times New Roman" w:hAnsi="Times New Roman"/>
        </w:rPr>
        <w:t>higher than</w:t>
      </w:r>
      <w:r w:rsidR="00DF7E37" w:rsidRPr="002208A3">
        <w:rPr>
          <w:rFonts w:ascii="Times New Roman" w:hAnsi="Times New Roman"/>
        </w:rPr>
        <w:t xml:space="preserve"> </w:t>
      </w:r>
      <w:r w:rsidR="00FE50DB" w:rsidRPr="002208A3">
        <w:rPr>
          <w:rFonts w:ascii="Times New Roman" w:hAnsi="Times New Roman"/>
        </w:rPr>
        <w:t xml:space="preserve">in </w:t>
      </w:r>
      <w:r w:rsidR="00DF7E37" w:rsidRPr="002208A3">
        <w:rPr>
          <w:rFonts w:ascii="Times New Roman" w:hAnsi="Times New Roman"/>
        </w:rPr>
        <w:t xml:space="preserve">the stochastic games, </w:t>
      </w:r>
      <w:r w:rsidR="00DF7E37" w:rsidRPr="002208A3">
        <w:rPr>
          <w:rFonts w:ascii="Times New Roman" w:hAnsi="Times New Roman"/>
          <w:i/>
        </w:rPr>
        <w:t>B</w:t>
      </w:r>
      <w:r w:rsidR="00DF7E37" w:rsidRPr="002208A3">
        <w:rPr>
          <w:rFonts w:ascii="Times New Roman" w:hAnsi="Times New Roman"/>
        </w:rPr>
        <w:t xml:space="preserve">=4.09, </w:t>
      </w:r>
      <w:r w:rsidR="00DF7E37" w:rsidRPr="002208A3">
        <w:rPr>
          <w:rFonts w:ascii="Times New Roman" w:hAnsi="Times New Roman"/>
          <w:i/>
        </w:rPr>
        <w:t>SE</w:t>
      </w:r>
      <w:r w:rsidR="00DF7E37" w:rsidRPr="002208A3">
        <w:rPr>
          <w:rFonts w:ascii="Times New Roman" w:hAnsi="Times New Roman"/>
        </w:rPr>
        <w:t xml:space="preserve">=1.06, </w:t>
      </w:r>
      <w:r w:rsidR="00DF7E37" w:rsidRPr="002208A3">
        <w:rPr>
          <w:rFonts w:ascii="Times New Roman" w:hAnsi="Times New Roman"/>
          <w:i/>
        </w:rPr>
        <w:t>p</w:t>
      </w:r>
      <w:r w:rsidR="00DF7E37" w:rsidRPr="002208A3">
        <w:rPr>
          <w:rFonts w:ascii="Times New Roman" w:hAnsi="Times New Roman"/>
        </w:rPr>
        <w:t>&lt;.001, there was not a significant difference between the two stochastic games</w:t>
      </w:r>
      <w:r w:rsidR="007E12B2" w:rsidRPr="002208A3">
        <w:rPr>
          <w:rFonts w:ascii="Times New Roman" w:hAnsi="Times New Roman"/>
        </w:rPr>
        <w:t xml:space="preserve">, </w:t>
      </w:r>
      <w:r w:rsidR="007E12B2" w:rsidRPr="002208A3">
        <w:rPr>
          <w:rFonts w:ascii="Times New Roman" w:hAnsi="Times New Roman"/>
          <w:i/>
        </w:rPr>
        <w:t>B</w:t>
      </w:r>
      <w:r w:rsidR="007E12B2" w:rsidRPr="002208A3">
        <w:rPr>
          <w:rFonts w:ascii="Times New Roman" w:hAnsi="Times New Roman"/>
        </w:rPr>
        <w:t xml:space="preserve">=-0.42, </w:t>
      </w:r>
      <w:r w:rsidR="007E12B2" w:rsidRPr="002208A3">
        <w:rPr>
          <w:rFonts w:ascii="Times New Roman" w:hAnsi="Times New Roman"/>
          <w:i/>
        </w:rPr>
        <w:t>SE</w:t>
      </w:r>
      <w:r w:rsidR="007E12B2" w:rsidRPr="002208A3">
        <w:rPr>
          <w:rFonts w:ascii="Times New Roman" w:hAnsi="Times New Roman"/>
        </w:rPr>
        <w:t xml:space="preserve">=0.56, </w:t>
      </w:r>
      <w:r w:rsidR="007E12B2" w:rsidRPr="002208A3">
        <w:rPr>
          <w:rFonts w:ascii="Times New Roman" w:hAnsi="Times New Roman"/>
          <w:i/>
        </w:rPr>
        <w:t>p</w:t>
      </w:r>
      <w:r w:rsidR="00207C18">
        <w:rPr>
          <w:rFonts w:ascii="Times New Roman" w:hAnsi="Times New Roman"/>
        </w:rPr>
        <w:t>=</w:t>
      </w:r>
      <w:r w:rsidR="00207C18" w:rsidRPr="002208A3">
        <w:rPr>
          <w:rFonts w:ascii="Times New Roman" w:hAnsi="Times New Roman"/>
        </w:rPr>
        <w:t>.</w:t>
      </w:r>
      <w:r w:rsidR="00207C18">
        <w:rPr>
          <w:rFonts w:ascii="Times New Roman" w:hAnsi="Times New Roman"/>
        </w:rPr>
        <w:t>46</w:t>
      </w:r>
      <w:r w:rsidR="00DF7E37" w:rsidRPr="002208A3">
        <w:rPr>
          <w:rFonts w:ascii="Times New Roman" w:hAnsi="Times New Roman"/>
        </w:rPr>
        <w:t xml:space="preserve">. </w:t>
      </w:r>
      <w:r w:rsidR="007334ED" w:rsidRPr="002208A3">
        <w:rPr>
          <w:rFonts w:ascii="Times New Roman" w:hAnsi="Times New Roman"/>
        </w:rPr>
        <w:t>In con</w:t>
      </w:r>
      <w:r w:rsidR="00366805" w:rsidRPr="002208A3">
        <w:rPr>
          <w:rFonts w:ascii="Times New Roman" w:hAnsi="Times New Roman"/>
        </w:rPr>
        <w:t>trast, only 10% of those in DPD-rep</w:t>
      </w:r>
      <w:r w:rsidR="00F45D0D" w:rsidRPr="002208A3">
        <w:rPr>
          <w:rFonts w:ascii="Times New Roman" w:hAnsi="Times New Roman"/>
        </w:rPr>
        <w:t xml:space="preserve"> mentioned </w:t>
      </w:r>
      <w:r w:rsidR="00B804C9">
        <w:rPr>
          <w:rFonts w:ascii="Times New Roman" w:hAnsi="Times New Roman"/>
        </w:rPr>
        <w:t>probability</w:t>
      </w:r>
      <w:r w:rsidR="00F45D0D" w:rsidRPr="002208A3">
        <w:rPr>
          <w:rFonts w:ascii="Times New Roman" w:hAnsi="Times New Roman"/>
        </w:rPr>
        <w:t xml:space="preserve">, as compared with 70% in SPD-rep and 59% in SPD-pre. </w:t>
      </w:r>
      <w:r w:rsidR="00BE6722" w:rsidRPr="002208A3">
        <w:rPr>
          <w:rFonts w:ascii="Times New Roman" w:hAnsi="Times New Roman"/>
        </w:rPr>
        <w:t xml:space="preserve">Logistic regression showed that while the proportion of DPD-rep participants mentioning probability was lower than the proportion in the other two conditions, </w:t>
      </w:r>
      <w:r w:rsidR="00BE6722" w:rsidRPr="002208A3">
        <w:rPr>
          <w:rFonts w:ascii="Times New Roman" w:hAnsi="Times New Roman"/>
          <w:i/>
        </w:rPr>
        <w:t>B</w:t>
      </w:r>
      <w:r w:rsidR="00BE6722" w:rsidRPr="002208A3">
        <w:rPr>
          <w:rFonts w:ascii="Times New Roman" w:hAnsi="Times New Roman"/>
        </w:rPr>
        <w:t xml:space="preserve">=-2.76, </w:t>
      </w:r>
      <w:r w:rsidR="00BE6722" w:rsidRPr="002208A3">
        <w:rPr>
          <w:rFonts w:ascii="Times New Roman" w:hAnsi="Times New Roman"/>
          <w:i/>
        </w:rPr>
        <w:t>SE</w:t>
      </w:r>
      <w:r w:rsidR="00BE6722" w:rsidRPr="002208A3">
        <w:rPr>
          <w:rFonts w:ascii="Times New Roman" w:hAnsi="Times New Roman"/>
        </w:rPr>
        <w:t xml:space="preserve">=0.67, </w:t>
      </w:r>
      <w:r w:rsidR="00BE6722" w:rsidRPr="002208A3">
        <w:rPr>
          <w:rFonts w:ascii="Times New Roman" w:hAnsi="Times New Roman"/>
          <w:i/>
        </w:rPr>
        <w:t>p</w:t>
      </w:r>
      <w:r w:rsidR="00BE6722" w:rsidRPr="002208A3">
        <w:rPr>
          <w:rFonts w:ascii="Times New Roman" w:hAnsi="Times New Roman"/>
        </w:rPr>
        <w:t xml:space="preserve">&lt;.001, there wasn't a significant difference between the SPD-rep and SPD-pre conditions, </w:t>
      </w:r>
      <w:r w:rsidR="00BE6722" w:rsidRPr="002208A3">
        <w:rPr>
          <w:rFonts w:ascii="Times New Roman" w:hAnsi="Times New Roman"/>
          <w:i/>
        </w:rPr>
        <w:t>B</w:t>
      </w:r>
      <w:r w:rsidR="00BE6722" w:rsidRPr="002208A3">
        <w:rPr>
          <w:rFonts w:ascii="Times New Roman" w:hAnsi="Times New Roman"/>
        </w:rPr>
        <w:t xml:space="preserve">=-.50, </w:t>
      </w:r>
      <w:r w:rsidR="00BE6722" w:rsidRPr="002208A3">
        <w:rPr>
          <w:rFonts w:ascii="Times New Roman" w:hAnsi="Times New Roman"/>
          <w:i/>
        </w:rPr>
        <w:t>SE</w:t>
      </w:r>
      <w:r w:rsidR="00BE6722" w:rsidRPr="002208A3">
        <w:rPr>
          <w:rFonts w:ascii="Times New Roman" w:hAnsi="Times New Roman"/>
        </w:rPr>
        <w:t xml:space="preserve">=.55, </w:t>
      </w:r>
      <w:r w:rsidR="00BE6722" w:rsidRPr="002208A3">
        <w:rPr>
          <w:rFonts w:ascii="Times New Roman" w:hAnsi="Times New Roman"/>
          <w:i/>
        </w:rPr>
        <w:t>p</w:t>
      </w:r>
      <w:r w:rsidR="00761B78">
        <w:rPr>
          <w:rFonts w:ascii="Times New Roman" w:hAnsi="Times New Roman"/>
        </w:rPr>
        <w:t>=</w:t>
      </w:r>
      <w:r w:rsidR="00761B78" w:rsidRPr="002208A3">
        <w:rPr>
          <w:rFonts w:ascii="Times New Roman" w:hAnsi="Times New Roman"/>
        </w:rPr>
        <w:t>.</w:t>
      </w:r>
      <w:r w:rsidR="00761B78">
        <w:rPr>
          <w:rFonts w:ascii="Times New Roman" w:hAnsi="Times New Roman"/>
        </w:rPr>
        <w:t>36</w:t>
      </w:r>
      <w:r w:rsidR="00BE6722" w:rsidRPr="002208A3">
        <w:rPr>
          <w:rFonts w:ascii="Times New Roman" w:hAnsi="Times New Roman"/>
        </w:rPr>
        <w:t xml:space="preserve">. </w:t>
      </w:r>
    </w:p>
    <w:p w14:paraId="6C5FE961" w14:textId="77777777" w:rsidR="002D2AC3" w:rsidRPr="002208A3" w:rsidRDefault="002D2AC3" w:rsidP="00AF2B85">
      <w:pPr>
        <w:spacing w:line="480" w:lineRule="auto"/>
        <w:rPr>
          <w:rFonts w:ascii="Times New Roman" w:hAnsi="Times New Roman"/>
        </w:rPr>
      </w:pPr>
    </w:p>
    <w:p w14:paraId="36890C80" w14:textId="4677DD1C" w:rsidR="007172BA" w:rsidRPr="002208A3" w:rsidRDefault="007172BA" w:rsidP="00AF2B85">
      <w:pPr>
        <w:spacing w:line="480" w:lineRule="auto"/>
        <w:rPr>
          <w:rFonts w:ascii="Times New Roman" w:hAnsi="Times New Roman"/>
          <w:i/>
        </w:rPr>
      </w:pPr>
      <w:r w:rsidRPr="002208A3">
        <w:rPr>
          <w:rFonts w:ascii="Times New Roman" w:hAnsi="Times New Roman"/>
          <w:i/>
        </w:rPr>
        <w:t xml:space="preserve">Figure </w:t>
      </w:r>
      <w:r w:rsidR="00C072B4">
        <w:rPr>
          <w:rFonts w:ascii="Times New Roman" w:hAnsi="Times New Roman"/>
          <w:i/>
        </w:rPr>
        <w:t>2</w:t>
      </w:r>
      <w:r w:rsidRPr="002208A3">
        <w:rPr>
          <w:rFonts w:ascii="Times New Roman" w:hAnsi="Times New Roman"/>
          <w:i/>
        </w:rPr>
        <w:t xml:space="preserve">: Proportion </w:t>
      </w:r>
      <w:r w:rsidR="00232CBC" w:rsidRPr="002208A3">
        <w:rPr>
          <w:rFonts w:ascii="Times New Roman" w:hAnsi="Times New Roman"/>
          <w:i/>
        </w:rPr>
        <w:t xml:space="preserve">of participants </w:t>
      </w:r>
      <w:r w:rsidRPr="002208A3">
        <w:rPr>
          <w:rFonts w:ascii="Times New Roman" w:hAnsi="Times New Roman"/>
          <w:i/>
        </w:rPr>
        <w:t>spontaneously mentioning their counterpart</w:t>
      </w:r>
      <w:r w:rsidR="00663D1A" w:rsidRPr="002208A3">
        <w:rPr>
          <w:rFonts w:ascii="Times New Roman" w:hAnsi="Times New Roman"/>
          <w:i/>
        </w:rPr>
        <w:t xml:space="preserve"> or probability</w:t>
      </w:r>
      <w:r w:rsidR="00EE066C">
        <w:rPr>
          <w:rFonts w:ascii="Times New Roman" w:hAnsi="Times New Roman"/>
          <w:i/>
        </w:rPr>
        <w:t xml:space="preserve"> in Study 1</w:t>
      </w:r>
      <w:r w:rsidR="00D50DD7" w:rsidRPr="002208A3">
        <w:rPr>
          <w:rFonts w:ascii="Times New Roman" w:hAnsi="Times New Roman"/>
          <w:i/>
        </w:rPr>
        <w:t>,</w:t>
      </w:r>
      <w:r w:rsidRPr="002208A3">
        <w:rPr>
          <w:rFonts w:ascii="Times New Roman" w:hAnsi="Times New Roman"/>
          <w:i/>
        </w:rPr>
        <w:t xml:space="preserve"> in response to the post-game open-ended question</w:t>
      </w:r>
      <w:r w:rsidR="002C0F07" w:rsidRPr="002208A3">
        <w:rPr>
          <w:rFonts w:ascii="Times New Roman" w:hAnsi="Times New Roman"/>
          <w:i/>
        </w:rPr>
        <w:t xml:space="preserve"> </w:t>
      </w:r>
      <w:r w:rsidR="00D50DD7" w:rsidRPr="002208A3">
        <w:rPr>
          <w:rFonts w:ascii="Times New Roman" w:hAnsi="Times New Roman"/>
          <w:i/>
        </w:rPr>
        <w:t>after playing</w:t>
      </w:r>
      <w:r w:rsidR="002C0F07" w:rsidRPr="002208A3">
        <w:rPr>
          <w:rFonts w:ascii="Times New Roman" w:hAnsi="Times New Roman"/>
          <w:i/>
        </w:rPr>
        <w:t xml:space="preserve"> the repeated deterministic prisoner's dilemma (DPD-rep), repeated stochastic prisoner's </w:t>
      </w:r>
      <w:r w:rsidR="002C0F07" w:rsidRPr="002208A3">
        <w:rPr>
          <w:rFonts w:ascii="Times New Roman" w:hAnsi="Times New Roman"/>
          <w:i/>
        </w:rPr>
        <w:lastRenderedPageBreak/>
        <w:t xml:space="preserve">dilemma (SPD-rep), </w:t>
      </w:r>
      <w:r w:rsidR="00B622F7" w:rsidRPr="002208A3">
        <w:rPr>
          <w:rFonts w:ascii="Times New Roman" w:hAnsi="Times New Roman"/>
          <w:i/>
        </w:rPr>
        <w:t>or</w:t>
      </w:r>
      <w:r w:rsidR="002C0F07" w:rsidRPr="002208A3">
        <w:rPr>
          <w:rFonts w:ascii="Times New Roman" w:hAnsi="Times New Roman"/>
          <w:i/>
        </w:rPr>
        <w:t xml:space="preserve"> precommitted stochastic prisoner's dilemma (SPD-pre) </w:t>
      </w:r>
      <w:r w:rsidR="00B622F7" w:rsidRPr="002208A3">
        <w:rPr>
          <w:rFonts w:ascii="Times New Roman" w:hAnsi="Times New Roman"/>
          <w:i/>
        </w:rPr>
        <w:t>game</w:t>
      </w:r>
      <w:r w:rsidRPr="002208A3">
        <w:rPr>
          <w:rFonts w:ascii="Times New Roman" w:hAnsi="Times New Roman"/>
          <w:i/>
        </w:rPr>
        <w:t xml:space="preserve">. </w:t>
      </w:r>
      <w:r w:rsidR="00A456F2" w:rsidRPr="002208A3">
        <w:rPr>
          <w:rFonts w:ascii="Times New Roman" w:hAnsi="Times New Roman"/>
          <w:i/>
        </w:rPr>
        <w:t xml:space="preserve">Error bars represent +/- one standard error. </w:t>
      </w:r>
    </w:p>
    <w:p w14:paraId="42B16863" w14:textId="6132B6E4" w:rsidR="007172BA" w:rsidRPr="002208A3" w:rsidRDefault="00DC44F4" w:rsidP="00AF2B85">
      <w:pPr>
        <w:spacing w:line="480" w:lineRule="auto"/>
        <w:rPr>
          <w:rFonts w:ascii="Times New Roman" w:hAnsi="Times New Roman"/>
        </w:rPr>
      </w:pPr>
      <w:r>
        <w:rPr>
          <w:rFonts w:ascii="Times New Roman" w:hAnsi="Times New Roman"/>
          <w:noProof/>
        </w:rPr>
        <w:drawing>
          <wp:inline distT="0" distB="0" distL="0" distR="0" wp14:anchorId="03104804" wp14:editId="377BED94">
            <wp:extent cx="5751856" cy="4174435"/>
            <wp:effectExtent l="0" t="0" r="1270" b="0"/>
            <wp:docPr id="1832743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361" cy="4183510"/>
                    </a:xfrm>
                    <a:prstGeom prst="rect">
                      <a:avLst/>
                    </a:prstGeom>
                    <a:noFill/>
                  </pic:spPr>
                </pic:pic>
              </a:graphicData>
            </a:graphic>
          </wp:inline>
        </w:drawing>
      </w:r>
    </w:p>
    <w:p w14:paraId="7CF3E646" w14:textId="2FE0A06D" w:rsidR="00055895" w:rsidRPr="002208A3" w:rsidRDefault="00047FAB" w:rsidP="00AF2B85">
      <w:pPr>
        <w:spacing w:line="480" w:lineRule="auto"/>
        <w:rPr>
          <w:rFonts w:ascii="Times New Roman" w:hAnsi="Times New Roman"/>
        </w:rPr>
      </w:pPr>
      <w:r w:rsidRPr="002208A3">
        <w:rPr>
          <w:rFonts w:ascii="Times New Roman" w:hAnsi="Times New Roman"/>
        </w:rPr>
        <w:tab/>
        <w:t xml:space="preserve">Another measure of </w:t>
      </w:r>
      <w:r w:rsidR="00AD14F7" w:rsidRPr="002208A3">
        <w:rPr>
          <w:rFonts w:ascii="Times New Roman" w:hAnsi="Times New Roman"/>
        </w:rPr>
        <w:t>participants</w:t>
      </w:r>
      <w:r w:rsidR="00AD14F7">
        <w:rPr>
          <w:rFonts w:ascii="Times New Roman" w:hAnsi="Times New Roman"/>
        </w:rPr>
        <w:t>’</w:t>
      </w:r>
      <w:r w:rsidR="00AD14F7" w:rsidRPr="002208A3">
        <w:rPr>
          <w:rFonts w:ascii="Times New Roman" w:hAnsi="Times New Roman"/>
        </w:rPr>
        <w:t xml:space="preserve"> </w:t>
      </w:r>
      <w:r w:rsidRPr="002208A3">
        <w:rPr>
          <w:rFonts w:ascii="Times New Roman" w:hAnsi="Times New Roman"/>
        </w:rPr>
        <w:t xml:space="preserve">sensitivity to the actions of their counterpart can be seen in Figure </w:t>
      </w:r>
      <w:r w:rsidR="008D5FAB">
        <w:rPr>
          <w:rFonts w:ascii="Times New Roman" w:hAnsi="Times New Roman"/>
        </w:rPr>
        <w:t>3</w:t>
      </w:r>
      <w:r w:rsidR="00DA4577" w:rsidRPr="002208A3">
        <w:rPr>
          <w:rFonts w:ascii="Times New Roman" w:hAnsi="Times New Roman"/>
        </w:rPr>
        <w:t>.</w:t>
      </w:r>
      <w:r w:rsidR="00AD14F7">
        <w:rPr>
          <w:rFonts w:ascii="Times New Roman" w:hAnsi="Times New Roman"/>
        </w:rPr>
        <w:t xml:space="preserve"> Recall that every round, after participants made their own choice, they were </w:t>
      </w:r>
      <w:r w:rsidR="00607915">
        <w:rPr>
          <w:rFonts w:ascii="Times New Roman" w:hAnsi="Times New Roman"/>
        </w:rPr>
        <w:t>asked</w:t>
      </w:r>
      <w:r w:rsidR="00312AC4">
        <w:rPr>
          <w:rFonts w:ascii="Times New Roman" w:hAnsi="Times New Roman"/>
        </w:rPr>
        <w:t xml:space="preserve"> to predict what their counterpart would do. As seen in Figure 3 (using each individual round as the unit of observation), there is overall a high correspondence between what participants expect</w:t>
      </w:r>
      <w:r w:rsidR="00B97937">
        <w:rPr>
          <w:rFonts w:ascii="Times New Roman" w:hAnsi="Times New Roman"/>
        </w:rPr>
        <w:t>ed</w:t>
      </w:r>
      <w:r w:rsidR="00312AC4">
        <w:rPr>
          <w:rFonts w:ascii="Times New Roman" w:hAnsi="Times New Roman"/>
        </w:rPr>
        <w:t xml:space="preserve"> their counterpart to do, and what they themselves chose. However, this correspondence varie</w:t>
      </w:r>
      <w:r w:rsidR="00B97937">
        <w:rPr>
          <w:rFonts w:ascii="Times New Roman" w:hAnsi="Times New Roman"/>
        </w:rPr>
        <w:t>d</w:t>
      </w:r>
      <w:r w:rsidR="00312AC4">
        <w:rPr>
          <w:rFonts w:ascii="Times New Roman" w:hAnsi="Times New Roman"/>
        </w:rPr>
        <w:t xml:space="preserve"> by condition. </w:t>
      </w:r>
      <w:r w:rsidR="00DA4577" w:rsidRPr="002208A3">
        <w:rPr>
          <w:rFonts w:ascii="Times New Roman" w:hAnsi="Times New Roman"/>
        </w:rPr>
        <w:t xml:space="preserve">In the DPD-rep game, there was a strong linear relationship between what people expected their counterpart to do and their investment </w:t>
      </w:r>
      <w:r w:rsidR="00AD14F7">
        <w:rPr>
          <w:rFonts w:ascii="Times New Roman" w:hAnsi="Times New Roman"/>
        </w:rPr>
        <w:t>rate</w:t>
      </w:r>
      <w:r w:rsidR="00DA4577" w:rsidRPr="002208A3">
        <w:rPr>
          <w:rFonts w:ascii="Times New Roman" w:hAnsi="Times New Roman"/>
        </w:rPr>
        <w:t xml:space="preserve">. If a participant thought </w:t>
      </w:r>
      <w:r w:rsidR="006613E9">
        <w:rPr>
          <w:rFonts w:ascii="Times New Roman" w:hAnsi="Times New Roman"/>
        </w:rPr>
        <w:t>their</w:t>
      </w:r>
      <w:r w:rsidR="006613E9" w:rsidRPr="002208A3">
        <w:rPr>
          <w:rFonts w:ascii="Times New Roman" w:hAnsi="Times New Roman"/>
        </w:rPr>
        <w:t xml:space="preserve"> </w:t>
      </w:r>
      <w:r w:rsidR="00DA4577" w:rsidRPr="002208A3">
        <w:rPr>
          <w:rFonts w:ascii="Times New Roman" w:hAnsi="Times New Roman"/>
        </w:rPr>
        <w:t xml:space="preserve">counterpart would definitely invest, then </w:t>
      </w:r>
      <w:r w:rsidR="006613E9">
        <w:rPr>
          <w:rFonts w:ascii="Times New Roman" w:hAnsi="Times New Roman"/>
        </w:rPr>
        <w:t>they themselves were</w:t>
      </w:r>
      <w:r w:rsidR="00DA4577" w:rsidRPr="002208A3">
        <w:rPr>
          <w:rFonts w:ascii="Times New Roman" w:hAnsi="Times New Roman"/>
        </w:rPr>
        <w:t xml:space="preserve"> very likely to invest, and vice versa. However, participants in </w:t>
      </w:r>
      <w:r w:rsidR="00DA4577" w:rsidRPr="002208A3">
        <w:rPr>
          <w:rFonts w:ascii="Times New Roman" w:hAnsi="Times New Roman"/>
        </w:rPr>
        <w:lastRenderedPageBreak/>
        <w:t>the stochastic games were less responsive to what they thought their counterpart would do. This pattern</w:t>
      </w:r>
      <w:r w:rsidR="002A4FB1" w:rsidRPr="002208A3">
        <w:rPr>
          <w:rFonts w:ascii="Times New Roman" w:hAnsi="Times New Roman"/>
        </w:rPr>
        <w:t xml:space="preserve"> was confirmed through logistic regression by interaction</w:t>
      </w:r>
      <w:r w:rsidR="003E1519">
        <w:rPr>
          <w:rFonts w:ascii="Times New Roman" w:hAnsi="Times New Roman"/>
        </w:rPr>
        <w:t>s</w:t>
      </w:r>
      <w:r w:rsidR="002A4FB1" w:rsidRPr="002208A3">
        <w:rPr>
          <w:rFonts w:ascii="Times New Roman" w:hAnsi="Times New Roman"/>
        </w:rPr>
        <w:t xml:space="preserve"> between condition</w:t>
      </w:r>
      <w:r w:rsidR="00B97937">
        <w:rPr>
          <w:rFonts w:ascii="Times New Roman" w:hAnsi="Times New Roman"/>
        </w:rPr>
        <w:t xml:space="preserve"> (as a categorical variable)</w:t>
      </w:r>
      <w:r w:rsidR="002A4FB1" w:rsidRPr="002208A3">
        <w:rPr>
          <w:rFonts w:ascii="Times New Roman" w:hAnsi="Times New Roman"/>
        </w:rPr>
        <w:t xml:space="preserve"> and </w:t>
      </w:r>
      <w:r w:rsidR="00AD14F7">
        <w:rPr>
          <w:rFonts w:ascii="Times New Roman" w:hAnsi="Times New Roman"/>
        </w:rPr>
        <w:t>“</w:t>
      </w:r>
      <w:r w:rsidR="002A4FB1" w:rsidRPr="002208A3">
        <w:rPr>
          <w:rFonts w:ascii="Times New Roman" w:hAnsi="Times New Roman"/>
        </w:rPr>
        <w:t>partner prediction</w:t>
      </w:r>
      <w:r w:rsidR="00AD14F7">
        <w:rPr>
          <w:rFonts w:ascii="Times New Roman" w:hAnsi="Times New Roman"/>
        </w:rPr>
        <w:t xml:space="preserve">” </w:t>
      </w:r>
      <w:r w:rsidR="00B97937">
        <w:rPr>
          <w:rFonts w:ascii="Times New Roman" w:hAnsi="Times New Roman"/>
        </w:rPr>
        <w:t>(analyzed as a linear 1-4 variable)</w:t>
      </w:r>
      <w:r w:rsidR="002A4FB1" w:rsidRPr="002208A3">
        <w:rPr>
          <w:rFonts w:ascii="Times New Roman" w:hAnsi="Times New Roman"/>
        </w:rPr>
        <w:t xml:space="preserve"> predicting investment.</w:t>
      </w:r>
      <w:r w:rsidRPr="002208A3">
        <w:rPr>
          <w:rFonts w:ascii="Times New Roman" w:hAnsi="Times New Roman"/>
        </w:rPr>
        <w:t xml:space="preserve"> </w:t>
      </w:r>
      <w:r w:rsidR="00732815">
        <w:rPr>
          <w:rFonts w:ascii="Times New Roman" w:hAnsi="Times New Roman"/>
        </w:rPr>
        <w:t xml:space="preserve">Taking the DPD-rep condition as the reference group, there were interactions with SPD-rep and partner prediction, </w:t>
      </w:r>
      <w:r w:rsidR="00732815" w:rsidRPr="002208A3">
        <w:rPr>
          <w:rFonts w:ascii="Times New Roman" w:hAnsi="Times New Roman"/>
          <w:i/>
        </w:rPr>
        <w:t>B</w:t>
      </w:r>
      <w:r w:rsidR="00732815" w:rsidRPr="002208A3">
        <w:rPr>
          <w:rFonts w:ascii="Times New Roman" w:hAnsi="Times New Roman"/>
        </w:rPr>
        <w:t>=</w:t>
      </w:r>
      <w:r w:rsidR="00732815">
        <w:rPr>
          <w:rFonts w:ascii="Times New Roman" w:hAnsi="Times New Roman"/>
        </w:rPr>
        <w:t>-0</w:t>
      </w:r>
      <w:r w:rsidR="00732815" w:rsidRPr="002208A3">
        <w:rPr>
          <w:rFonts w:ascii="Times New Roman" w:hAnsi="Times New Roman"/>
        </w:rPr>
        <w:t>.</w:t>
      </w:r>
      <w:r w:rsidR="00732815">
        <w:rPr>
          <w:rFonts w:ascii="Times New Roman" w:hAnsi="Times New Roman"/>
        </w:rPr>
        <w:t>6</w:t>
      </w:r>
      <w:r w:rsidR="00732815" w:rsidRPr="002208A3">
        <w:rPr>
          <w:rFonts w:ascii="Times New Roman" w:hAnsi="Times New Roman"/>
        </w:rPr>
        <w:t xml:space="preserve">, </w:t>
      </w:r>
      <w:r w:rsidR="00732815" w:rsidRPr="002208A3">
        <w:rPr>
          <w:rFonts w:ascii="Times New Roman" w:hAnsi="Times New Roman"/>
          <w:i/>
        </w:rPr>
        <w:t>SE</w:t>
      </w:r>
      <w:r w:rsidR="00732815" w:rsidRPr="002208A3">
        <w:rPr>
          <w:rFonts w:ascii="Times New Roman" w:hAnsi="Times New Roman"/>
        </w:rPr>
        <w:t>=0.1</w:t>
      </w:r>
      <w:r w:rsidR="00732815">
        <w:rPr>
          <w:rFonts w:ascii="Times New Roman" w:hAnsi="Times New Roman"/>
        </w:rPr>
        <w:t>3</w:t>
      </w:r>
      <w:r w:rsidR="00732815" w:rsidRPr="002208A3">
        <w:rPr>
          <w:rFonts w:ascii="Times New Roman" w:hAnsi="Times New Roman"/>
        </w:rPr>
        <w:t xml:space="preserve">, </w:t>
      </w:r>
      <w:r w:rsidR="00732815" w:rsidRPr="002208A3">
        <w:rPr>
          <w:rFonts w:ascii="Times New Roman" w:hAnsi="Times New Roman"/>
          <w:i/>
        </w:rPr>
        <w:t>p</w:t>
      </w:r>
      <w:r w:rsidR="00732815" w:rsidRPr="002208A3">
        <w:rPr>
          <w:rFonts w:ascii="Times New Roman" w:hAnsi="Times New Roman"/>
        </w:rPr>
        <w:t>&lt;.001</w:t>
      </w:r>
      <w:r w:rsidR="00732815">
        <w:rPr>
          <w:rFonts w:ascii="Times New Roman" w:hAnsi="Times New Roman"/>
        </w:rPr>
        <w:t xml:space="preserve">, as well as SPD-pre and partner prediction, </w:t>
      </w:r>
      <w:r w:rsidR="00732815" w:rsidRPr="002208A3">
        <w:rPr>
          <w:rFonts w:ascii="Times New Roman" w:hAnsi="Times New Roman"/>
          <w:i/>
        </w:rPr>
        <w:t>B</w:t>
      </w:r>
      <w:r w:rsidR="00732815" w:rsidRPr="002208A3">
        <w:rPr>
          <w:rFonts w:ascii="Times New Roman" w:hAnsi="Times New Roman"/>
        </w:rPr>
        <w:t>=</w:t>
      </w:r>
      <w:r w:rsidR="00732815">
        <w:rPr>
          <w:rFonts w:ascii="Times New Roman" w:hAnsi="Times New Roman"/>
        </w:rPr>
        <w:t>-1.5</w:t>
      </w:r>
      <w:r w:rsidR="00732815" w:rsidRPr="002208A3">
        <w:rPr>
          <w:rFonts w:ascii="Times New Roman" w:hAnsi="Times New Roman"/>
        </w:rPr>
        <w:t xml:space="preserve">, </w:t>
      </w:r>
      <w:r w:rsidR="00732815" w:rsidRPr="002208A3">
        <w:rPr>
          <w:rFonts w:ascii="Times New Roman" w:hAnsi="Times New Roman"/>
          <w:i/>
        </w:rPr>
        <w:t>SE</w:t>
      </w:r>
      <w:r w:rsidR="00732815" w:rsidRPr="002208A3">
        <w:rPr>
          <w:rFonts w:ascii="Times New Roman" w:hAnsi="Times New Roman"/>
        </w:rPr>
        <w:t>=0.1</w:t>
      </w:r>
      <w:r w:rsidR="00732815">
        <w:rPr>
          <w:rFonts w:ascii="Times New Roman" w:hAnsi="Times New Roman"/>
        </w:rPr>
        <w:t>2</w:t>
      </w:r>
      <w:r w:rsidR="00732815" w:rsidRPr="002208A3">
        <w:rPr>
          <w:rFonts w:ascii="Times New Roman" w:hAnsi="Times New Roman"/>
        </w:rPr>
        <w:t xml:space="preserve">, </w:t>
      </w:r>
      <w:r w:rsidR="00732815" w:rsidRPr="002208A3">
        <w:rPr>
          <w:rFonts w:ascii="Times New Roman" w:hAnsi="Times New Roman"/>
          <w:i/>
        </w:rPr>
        <w:t>p</w:t>
      </w:r>
      <w:r w:rsidR="00732815" w:rsidRPr="002208A3">
        <w:rPr>
          <w:rFonts w:ascii="Times New Roman" w:hAnsi="Times New Roman"/>
        </w:rPr>
        <w:t>&lt;.001</w:t>
      </w:r>
      <w:r w:rsidR="00732815">
        <w:rPr>
          <w:rFonts w:ascii="Times New Roman" w:hAnsi="Times New Roman"/>
        </w:rPr>
        <w:t>, confirming that the interaction seen in Figure 3 is significant. Moreover, i</w:t>
      </w:r>
      <w:r w:rsidR="00055895" w:rsidRPr="002208A3">
        <w:rPr>
          <w:rFonts w:ascii="Times New Roman" w:hAnsi="Times New Roman"/>
        </w:rPr>
        <w:t xml:space="preserve">n the DPD-rep condition, </w:t>
      </w:r>
      <w:r w:rsidR="00D768AF" w:rsidRPr="002208A3">
        <w:rPr>
          <w:rFonts w:ascii="Times New Roman" w:hAnsi="Times New Roman"/>
        </w:rPr>
        <w:t>players</w:t>
      </w:r>
      <w:r w:rsidR="00D768AF">
        <w:rPr>
          <w:rFonts w:ascii="Times New Roman" w:hAnsi="Times New Roman"/>
        </w:rPr>
        <w:t>’</w:t>
      </w:r>
      <w:r w:rsidR="00D768AF" w:rsidRPr="002208A3">
        <w:rPr>
          <w:rFonts w:ascii="Times New Roman" w:hAnsi="Times New Roman"/>
        </w:rPr>
        <w:t xml:space="preserve"> </w:t>
      </w:r>
      <w:r w:rsidR="00055895" w:rsidRPr="002208A3">
        <w:rPr>
          <w:rFonts w:ascii="Times New Roman" w:hAnsi="Times New Roman"/>
        </w:rPr>
        <w:t xml:space="preserve">predictions of their counterpart's action were highly predictive of their own action, </w:t>
      </w:r>
      <w:r w:rsidR="00055895" w:rsidRPr="002208A3">
        <w:rPr>
          <w:rFonts w:ascii="Times New Roman" w:hAnsi="Times New Roman"/>
          <w:i/>
        </w:rPr>
        <w:t>B</w:t>
      </w:r>
      <w:r w:rsidR="00055895" w:rsidRPr="002208A3">
        <w:rPr>
          <w:rFonts w:ascii="Times New Roman" w:hAnsi="Times New Roman"/>
        </w:rPr>
        <w:t xml:space="preserve">=2.3, </w:t>
      </w:r>
      <w:r w:rsidR="00055895" w:rsidRPr="002208A3">
        <w:rPr>
          <w:rFonts w:ascii="Times New Roman" w:hAnsi="Times New Roman"/>
          <w:i/>
        </w:rPr>
        <w:t>SE</w:t>
      </w:r>
      <w:r w:rsidR="00055895" w:rsidRPr="002208A3">
        <w:rPr>
          <w:rFonts w:ascii="Times New Roman" w:hAnsi="Times New Roman"/>
        </w:rPr>
        <w:t xml:space="preserve">=0.10, </w:t>
      </w:r>
      <w:r w:rsidR="001F503D" w:rsidRPr="002208A3">
        <w:rPr>
          <w:rFonts w:ascii="Times New Roman" w:hAnsi="Times New Roman"/>
          <w:i/>
        </w:rPr>
        <w:t>p</w:t>
      </w:r>
      <w:r w:rsidR="001F503D" w:rsidRPr="002208A3">
        <w:rPr>
          <w:rFonts w:ascii="Times New Roman" w:hAnsi="Times New Roman"/>
        </w:rPr>
        <w:t xml:space="preserve">&lt;.001, </w:t>
      </w:r>
      <w:r w:rsidR="00055895" w:rsidRPr="002208A3">
        <w:rPr>
          <w:rFonts w:ascii="Times New Roman" w:hAnsi="Times New Roman"/>
          <w:i/>
        </w:rPr>
        <w:t>r</w:t>
      </w:r>
      <w:r w:rsidR="00055895" w:rsidRPr="002208A3">
        <w:rPr>
          <w:rFonts w:ascii="Times New Roman" w:hAnsi="Times New Roman"/>
          <w:vertAlign w:val="superscript"/>
        </w:rPr>
        <w:t>2</w:t>
      </w:r>
      <w:r w:rsidR="00055895" w:rsidRPr="002208A3">
        <w:rPr>
          <w:rFonts w:ascii="Times New Roman" w:hAnsi="Times New Roman"/>
        </w:rPr>
        <w:t xml:space="preserve">=.61. In contrast, </w:t>
      </w:r>
      <w:r w:rsidR="001F503D" w:rsidRPr="002208A3">
        <w:rPr>
          <w:rFonts w:ascii="Times New Roman" w:hAnsi="Times New Roman"/>
        </w:rPr>
        <w:t xml:space="preserve">in the SPD-rep condition, </w:t>
      </w:r>
      <w:r w:rsidR="00281F18" w:rsidRPr="002208A3">
        <w:rPr>
          <w:rFonts w:ascii="Times New Roman" w:hAnsi="Times New Roman"/>
        </w:rPr>
        <w:t xml:space="preserve">the relationship was much weaker, though still significant, </w:t>
      </w:r>
      <w:r w:rsidR="00055895" w:rsidRPr="002208A3">
        <w:rPr>
          <w:rFonts w:ascii="Times New Roman" w:hAnsi="Times New Roman"/>
          <w:i/>
        </w:rPr>
        <w:t>B</w:t>
      </w:r>
      <w:r w:rsidR="00055895" w:rsidRPr="002208A3">
        <w:rPr>
          <w:rFonts w:ascii="Times New Roman" w:hAnsi="Times New Roman"/>
        </w:rPr>
        <w:t xml:space="preserve">=.831, </w:t>
      </w:r>
      <w:r w:rsidR="00055895" w:rsidRPr="002208A3">
        <w:rPr>
          <w:rFonts w:ascii="Times New Roman" w:hAnsi="Times New Roman"/>
          <w:i/>
        </w:rPr>
        <w:t>SE</w:t>
      </w:r>
      <w:r w:rsidR="00055895" w:rsidRPr="002208A3">
        <w:rPr>
          <w:rFonts w:ascii="Times New Roman" w:hAnsi="Times New Roman"/>
        </w:rPr>
        <w:t xml:space="preserve">=.058, </w:t>
      </w:r>
      <w:r w:rsidR="00DF40D5" w:rsidRPr="002208A3">
        <w:rPr>
          <w:rFonts w:ascii="Times New Roman" w:hAnsi="Times New Roman"/>
          <w:i/>
        </w:rPr>
        <w:t>p</w:t>
      </w:r>
      <w:r w:rsidR="00DF40D5" w:rsidRPr="002208A3">
        <w:rPr>
          <w:rFonts w:ascii="Times New Roman" w:hAnsi="Times New Roman"/>
        </w:rPr>
        <w:t xml:space="preserve">&lt;.001, </w:t>
      </w:r>
      <w:r w:rsidR="00055895" w:rsidRPr="002208A3">
        <w:rPr>
          <w:rFonts w:ascii="Times New Roman" w:hAnsi="Times New Roman"/>
          <w:i/>
        </w:rPr>
        <w:t>r</w:t>
      </w:r>
      <w:r w:rsidR="00055895" w:rsidRPr="002208A3">
        <w:rPr>
          <w:rFonts w:ascii="Times New Roman" w:hAnsi="Times New Roman"/>
          <w:vertAlign w:val="superscript"/>
        </w:rPr>
        <w:t>2</w:t>
      </w:r>
      <w:r w:rsidR="00055895" w:rsidRPr="002208A3">
        <w:rPr>
          <w:rFonts w:ascii="Times New Roman" w:hAnsi="Times New Roman"/>
        </w:rPr>
        <w:t>=.1</w:t>
      </w:r>
      <w:r w:rsidR="001F503D" w:rsidRPr="002208A3">
        <w:rPr>
          <w:rFonts w:ascii="Times New Roman" w:hAnsi="Times New Roman"/>
        </w:rPr>
        <w:t>3</w:t>
      </w:r>
      <w:r w:rsidR="00281F18" w:rsidRPr="002208A3">
        <w:rPr>
          <w:rFonts w:ascii="Times New Roman" w:hAnsi="Times New Roman"/>
        </w:rPr>
        <w:t xml:space="preserve">. The SPD-pre condition fell in the middle, </w:t>
      </w:r>
      <w:r w:rsidR="00055895" w:rsidRPr="002208A3">
        <w:rPr>
          <w:rFonts w:ascii="Times New Roman" w:hAnsi="Times New Roman"/>
          <w:i/>
        </w:rPr>
        <w:t>B</w:t>
      </w:r>
      <w:r w:rsidR="00055895" w:rsidRPr="002208A3">
        <w:rPr>
          <w:rFonts w:ascii="Times New Roman" w:hAnsi="Times New Roman"/>
        </w:rPr>
        <w:t xml:space="preserve">=1.79, </w:t>
      </w:r>
      <w:r w:rsidR="00055895" w:rsidRPr="002208A3">
        <w:rPr>
          <w:rFonts w:ascii="Times New Roman" w:hAnsi="Times New Roman"/>
          <w:i/>
        </w:rPr>
        <w:t>SE</w:t>
      </w:r>
      <w:r w:rsidR="00055895" w:rsidRPr="002208A3">
        <w:rPr>
          <w:rFonts w:ascii="Times New Roman" w:hAnsi="Times New Roman"/>
        </w:rPr>
        <w:t xml:space="preserve">=.083, </w:t>
      </w:r>
      <w:r w:rsidR="00DF40D5" w:rsidRPr="002208A3">
        <w:rPr>
          <w:rFonts w:ascii="Times New Roman" w:hAnsi="Times New Roman"/>
          <w:i/>
        </w:rPr>
        <w:t>p</w:t>
      </w:r>
      <w:r w:rsidR="00DF40D5" w:rsidRPr="002208A3">
        <w:rPr>
          <w:rFonts w:ascii="Times New Roman" w:hAnsi="Times New Roman"/>
        </w:rPr>
        <w:t xml:space="preserve">&lt;.001, </w:t>
      </w:r>
      <w:r w:rsidR="00055895" w:rsidRPr="002208A3">
        <w:rPr>
          <w:rFonts w:ascii="Times New Roman" w:hAnsi="Times New Roman"/>
          <w:i/>
        </w:rPr>
        <w:t>r</w:t>
      </w:r>
      <w:r w:rsidR="00055895" w:rsidRPr="002208A3">
        <w:rPr>
          <w:rFonts w:ascii="Times New Roman" w:hAnsi="Times New Roman"/>
          <w:vertAlign w:val="superscript"/>
        </w:rPr>
        <w:t>2</w:t>
      </w:r>
      <w:r w:rsidR="00055895" w:rsidRPr="002208A3">
        <w:rPr>
          <w:rFonts w:ascii="Times New Roman" w:hAnsi="Times New Roman"/>
        </w:rPr>
        <w:t>=.31</w:t>
      </w:r>
      <w:r w:rsidR="00281F18" w:rsidRPr="002208A3">
        <w:rPr>
          <w:rFonts w:ascii="Times New Roman" w:hAnsi="Times New Roman"/>
        </w:rPr>
        <w:t xml:space="preserve">. </w:t>
      </w:r>
    </w:p>
    <w:p w14:paraId="33D61440" w14:textId="77777777" w:rsidR="0063352E" w:rsidRPr="002208A3" w:rsidRDefault="0063352E" w:rsidP="00AF2B85">
      <w:pPr>
        <w:spacing w:line="480" w:lineRule="auto"/>
        <w:rPr>
          <w:rFonts w:ascii="Times New Roman" w:hAnsi="Times New Roman"/>
        </w:rPr>
      </w:pPr>
    </w:p>
    <w:p w14:paraId="36D3A8CD" w14:textId="577743E6" w:rsidR="00A54A49" w:rsidRPr="002208A3" w:rsidRDefault="00C3780A" w:rsidP="00AF2B85">
      <w:pPr>
        <w:spacing w:line="480" w:lineRule="auto"/>
        <w:rPr>
          <w:rFonts w:ascii="Times New Roman" w:hAnsi="Times New Roman"/>
          <w:i/>
        </w:rPr>
      </w:pPr>
      <w:r w:rsidRPr="002208A3">
        <w:rPr>
          <w:rFonts w:ascii="Times New Roman" w:hAnsi="Times New Roman"/>
          <w:i/>
        </w:rPr>
        <w:t xml:space="preserve">Figure </w:t>
      </w:r>
      <w:r w:rsidR="008D5FAB">
        <w:rPr>
          <w:rFonts w:ascii="Times New Roman" w:hAnsi="Times New Roman"/>
          <w:i/>
        </w:rPr>
        <w:t>3</w:t>
      </w:r>
      <w:r w:rsidRPr="002208A3">
        <w:rPr>
          <w:rFonts w:ascii="Times New Roman" w:hAnsi="Times New Roman"/>
          <w:i/>
        </w:rPr>
        <w:t xml:space="preserve">: Proportion investing against loss </w:t>
      </w:r>
      <w:r w:rsidR="001F0BFD">
        <w:rPr>
          <w:rFonts w:ascii="Times New Roman" w:hAnsi="Times New Roman"/>
          <w:i/>
        </w:rPr>
        <w:t xml:space="preserve">in Study 1, </w:t>
      </w:r>
      <w:r w:rsidRPr="002208A3">
        <w:rPr>
          <w:rFonts w:ascii="Times New Roman" w:hAnsi="Times New Roman"/>
          <w:i/>
        </w:rPr>
        <w:t>depending on their prediction of their counterpart's investment choice, in the repeated deterministic prisoner's dilemma (DPD-rep), repeated stochastic prisoner's dilemma (SPD-rep), and precommitted stochastic prisoner's dilemma (SPD-pre) conditions.</w:t>
      </w:r>
      <w:r w:rsidR="00CA5649">
        <w:rPr>
          <w:rFonts w:ascii="Times New Roman" w:hAnsi="Times New Roman"/>
          <w:i/>
        </w:rPr>
        <w:t xml:space="preserve"> </w:t>
      </w:r>
      <w:r w:rsidR="00CA5649" w:rsidRPr="002208A3">
        <w:rPr>
          <w:rFonts w:ascii="Times New Roman" w:hAnsi="Times New Roman"/>
          <w:i/>
        </w:rPr>
        <w:t>Error bars represent +/- one standard error.</w:t>
      </w:r>
    </w:p>
    <w:p w14:paraId="70FF9A3C" w14:textId="4715A553" w:rsidR="00C3780A" w:rsidRPr="002208A3" w:rsidRDefault="008E0BFF" w:rsidP="00AF2B85">
      <w:pPr>
        <w:spacing w:line="480" w:lineRule="auto"/>
        <w:rPr>
          <w:rFonts w:ascii="Times New Roman" w:hAnsi="Times New Roman"/>
        </w:rPr>
      </w:pPr>
      <w:r>
        <w:rPr>
          <w:rFonts w:ascii="Times New Roman" w:hAnsi="Times New Roman"/>
          <w:noProof/>
        </w:rPr>
        <w:lastRenderedPageBreak/>
        <w:drawing>
          <wp:inline distT="0" distB="0" distL="0" distR="0" wp14:anchorId="14672D1B" wp14:editId="2985FF9D">
            <wp:extent cx="5740842" cy="3901972"/>
            <wp:effectExtent l="0" t="0" r="0" b="0"/>
            <wp:docPr id="12554428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875" cy="3910830"/>
                    </a:xfrm>
                    <a:prstGeom prst="rect">
                      <a:avLst/>
                    </a:prstGeom>
                    <a:noFill/>
                  </pic:spPr>
                </pic:pic>
              </a:graphicData>
            </a:graphic>
          </wp:inline>
        </w:drawing>
      </w:r>
    </w:p>
    <w:p w14:paraId="18CCE0DE" w14:textId="19E05B41" w:rsidR="0053770D" w:rsidRPr="002208A3" w:rsidRDefault="0053770D" w:rsidP="00AF2B85">
      <w:pPr>
        <w:spacing w:line="480" w:lineRule="auto"/>
        <w:rPr>
          <w:rFonts w:ascii="Times New Roman" w:hAnsi="Times New Roman"/>
        </w:rPr>
      </w:pPr>
      <w:r w:rsidRPr="002208A3">
        <w:rPr>
          <w:rFonts w:ascii="Times New Roman" w:hAnsi="Times New Roman"/>
        </w:rPr>
        <w:tab/>
        <w:t xml:space="preserve">Similar evidence comes from looking at the </w:t>
      </w:r>
      <w:r w:rsidR="00AB4C4D">
        <w:rPr>
          <w:rFonts w:ascii="Times New Roman" w:hAnsi="Times New Roman"/>
        </w:rPr>
        <w:t xml:space="preserve">simple </w:t>
      </w:r>
      <w:r w:rsidRPr="002208A3">
        <w:rPr>
          <w:rFonts w:ascii="Times New Roman" w:hAnsi="Times New Roman"/>
        </w:rPr>
        <w:t>correlation</w:t>
      </w:r>
      <w:r w:rsidR="00AB4C4D">
        <w:rPr>
          <w:rFonts w:ascii="Times New Roman" w:hAnsi="Times New Roman"/>
        </w:rPr>
        <w:t>s</w:t>
      </w:r>
      <w:r w:rsidRPr="002208A3">
        <w:rPr>
          <w:rFonts w:ascii="Times New Roman" w:hAnsi="Times New Roman"/>
        </w:rPr>
        <w:t xml:space="preserve"> of each </w:t>
      </w:r>
      <w:r w:rsidR="00AB4C4D" w:rsidRPr="002208A3">
        <w:rPr>
          <w:rFonts w:ascii="Times New Roman" w:hAnsi="Times New Roman"/>
        </w:rPr>
        <w:t>participant</w:t>
      </w:r>
      <w:r w:rsidR="00AB4C4D">
        <w:rPr>
          <w:rFonts w:ascii="Times New Roman" w:hAnsi="Times New Roman"/>
        </w:rPr>
        <w:t>’</w:t>
      </w:r>
      <w:r w:rsidR="00AB4C4D" w:rsidRPr="002208A3">
        <w:rPr>
          <w:rFonts w:ascii="Times New Roman" w:hAnsi="Times New Roman"/>
        </w:rPr>
        <w:t xml:space="preserve">s </w:t>
      </w:r>
      <w:r w:rsidRPr="002208A3">
        <w:rPr>
          <w:rFonts w:ascii="Times New Roman" w:hAnsi="Times New Roman"/>
        </w:rPr>
        <w:t xml:space="preserve">choice with that of </w:t>
      </w:r>
      <w:r w:rsidR="006613E9">
        <w:rPr>
          <w:rFonts w:ascii="Times New Roman" w:hAnsi="Times New Roman"/>
        </w:rPr>
        <w:t>their</w:t>
      </w:r>
      <w:r w:rsidR="006613E9" w:rsidRPr="002208A3">
        <w:rPr>
          <w:rFonts w:ascii="Times New Roman" w:hAnsi="Times New Roman"/>
        </w:rPr>
        <w:t xml:space="preserve"> </w:t>
      </w:r>
      <w:r w:rsidRPr="002208A3">
        <w:rPr>
          <w:rFonts w:ascii="Times New Roman" w:hAnsi="Times New Roman"/>
        </w:rPr>
        <w:t>counterpart in the preceding round</w:t>
      </w:r>
      <w:r w:rsidR="00AB4C4D">
        <w:rPr>
          <w:rFonts w:ascii="Times New Roman" w:hAnsi="Times New Roman"/>
        </w:rPr>
        <w:t xml:space="preserve"> (this analysis excludes the first round, as there is no preceding round)</w:t>
      </w:r>
      <w:r w:rsidRPr="002208A3">
        <w:rPr>
          <w:rFonts w:ascii="Times New Roman" w:hAnsi="Times New Roman"/>
        </w:rPr>
        <w:t xml:space="preserve">. In the DPD-rep condition, participants' choices correlated </w:t>
      </w:r>
      <w:r w:rsidRPr="002208A3">
        <w:rPr>
          <w:rFonts w:ascii="Times New Roman" w:hAnsi="Times New Roman"/>
          <w:i/>
        </w:rPr>
        <w:t>r</w:t>
      </w:r>
      <w:r w:rsidRPr="002208A3">
        <w:rPr>
          <w:rFonts w:ascii="Times New Roman" w:hAnsi="Times New Roman"/>
        </w:rPr>
        <w:t xml:space="preserve">=.64 with their counterpart's choice in the preceding round, while in the SPD-rep condition it was only </w:t>
      </w:r>
      <w:r w:rsidRPr="002208A3">
        <w:rPr>
          <w:rFonts w:ascii="Times New Roman" w:hAnsi="Times New Roman"/>
          <w:i/>
        </w:rPr>
        <w:t>r</w:t>
      </w:r>
      <w:r w:rsidRPr="002208A3">
        <w:rPr>
          <w:rFonts w:ascii="Times New Roman" w:hAnsi="Times New Roman"/>
        </w:rPr>
        <w:t>=.2</w:t>
      </w:r>
      <w:r w:rsidR="00312638">
        <w:rPr>
          <w:rFonts w:ascii="Times New Roman" w:hAnsi="Times New Roman"/>
        </w:rPr>
        <w:t>1</w:t>
      </w:r>
      <w:r w:rsidRPr="002208A3">
        <w:rPr>
          <w:rFonts w:ascii="Times New Roman" w:hAnsi="Times New Roman"/>
        </w:rPr>
        <w:t xml:space="preserve"> and in the SPD-pre condition it was </w:t>
      </w:r>
      <w:r w:rsidRPr="002208A3">
        <w:rPr>
          <w:rFonts w:ascii="Times New Roman" w:hAnsi="Times New Roman"/>
          <w:i/>
        </w:rPr>
        <w:t>r</w:t>
      </w:r>
      <w:r w:rsidRPr="002208A3">
        <w:rPr>
          <w:rFonts w:ascii="Times New Roman" w:hAnsi="Times New Roman"/>
        </w:rPr>
        <w:t>=-.16.</w:t>
      </w:r>
      <w:r w:rsidR="00227E10">
        <w:rPr>
          <w:rFonts w:ascii="Times New Roman" w:hAnsi="Times New Roman"/>
        </w:rPr>
        <w:t xml:space="preserve"> </w:t>
      </w:r>
    </w:p>
    <w:p w14:paraId="06DB5BE0" w14:textId="4F1983D6" w:rsidR="00D05706" w:rsidRPr="002208A3" w:rsidRDefault="00D05706" w:rsidP="00AF2B85">
      <w:pPr>
        <w:spacing w:line="480" w:lineRule="auto"/>
        <w:rPr>
          <w:rFonts w:ascii="Times New Roman" w:hAnsi="Times New Roman"/>
        </w:rPr>
      </w:pPr>
      <w:r w:rsidRPr="002208A3">
        <w:rPr>
          <w:rFonts w:ascii="Times New Roman" w:hAnsi="Times New Roman"/>
        </w:rPr>
        <w:tab/>
        <w:t xml:space="preserve">Further evidence for the diminished sensitivity to the social dilemma in the stochastic conditions can be seen in Figure </w:t>
      </w:r>
      <w:r w:rsidR="008D5FAB">
        <w:rPr>
          <w:rFonts w:ascii="Times New Roman" w:hAnsi="Times New Roman"/>
        </w:rPr>
        <w:t>4</w:t>
      </w:r>
      <w:r w:rsidRPr="002208A3">
        <w:rPr>
          <w:rFonts w:ascii="Times New Roman" w:hAnsi="Times New Roman"/>
        </w:rPr>
        <w:t xml:space="preserve">, which shows the </w:t>
      </w:r>
      <w:r w:rsidR="000F4449" w:rsidRPr="002208A3">
        <w:rPr>
          <w:rFonts w:ascii="Times New Roman" w:hAnsi="Times New Roman"/>
        </w:rPr>
        <w:t xml:space="preserve">investment rates in each round, </w:t>
      </w:r>
      <w:r w:rsidRPr="002208A3">
        <w:rPr>
          <w:rFonts w:ascii="Times New Roman" w:hAnsi="Times New Roman"/>
        </w:rPr>
        <w:t>collapsing across blocks. The deterministic game shows the classic end-game effect, with investment rates dropping sharply in the final rounds</w:t>
      </w:r>
      <w:r w:rsidR="00AB4C4D">
        <w:rPr>
          <w:rFonts w:ascii="Times New Roman" w:hAnsi="Times New Roman"/>
        </w:rPr>
        <w:t xml:space="preserve"> of the block</w:t>
      </w:r>
      <w:r w:rsidRPr="002208A3">
        <w:rPr>
          <w:rFonts w:ascii="Times New Roman" w:hAnsi="Times New Roman"/>
        </w:rPr>
        <w:t>. In contrast, the stochastic games do</w:t>
      </w:r>
      <w:r w:rsidR="00AB4C4D">
        <w:rPr>
          <w:rFonts w:ascii="Times New Roman" w:hAnsi="Times New Roman"/>
        </w:rPr>
        <w:t xml:space="preserve"> not</w:t>
      </w:r>
      <w:r w:rsidRPr="002208A3">
        <w:rPr>
          <w:rFonts w:ascii="Times New Roman" w:hAnsi="Times New Roman"/>
        </w:rPr>
        <w:t xml:space="preserve"> show any end-game effects. </w:t>
      </w:r>
    </w:p>
    <w:p w14:paraId="28604ED5" w14:textId="77777777" w:rsidR="001E5FA3" w:rsidRPr="002208A3" w:rsidRDefault="001E5FA3" w:rsidP="00AF2B85">
      <w:pPr>
        <w:spacing w:line="480" w:lineRule="auto"/>
        <w:rPr>
          <w:rFonts w:ascii="Times New Roman" w:hAnsi="Times New Roman"/>
        </w:rPr>
      </w:pPr>
    </w:p>
    <w:p w14:paraId="11BD0C89" w14:textId="20E37D90" w:rsidR="00AB3BB8" w:rsidRPr="002208A3" w:rsidRDefault="00AB3BB8" w:rsidP="00AF2B85">
      <w:pPr>
        <w:spacing w:line="480" w:lineRule="auto"/>
        <w:rPr>
          <w:rFonts w:ascii="Times New Roman" w:hAnsi="Times New Roman"/>
        </w:rPr>
      </w:pPr>
      <w:r w:rsidRPr="002208A3">
        <w:rPr>
          <w:rFonts w:ascii="Times New Roman" w:hAnsi="Times New Roman"/>
          <w:i/>
        </w:rPr>
        <w:lastRenderedPageBreak/>
        <w:t xml:space="preserve">Figure </w:t>
      </w:r>
      <w:r w:rsidR="008D5FAB">
        <w:rPr>
          <w:rFonts w:ascii="Times New Roman" w:hAnsi="Times New Roman"/>
          <w:i/>
        </w:rPr>
        <w:t>4</w:t>
      </w:r>
      <w:r w:rsidRPr="002208A3">
        <w:rPr>
          <w:rFonts w:ascii="Times New Roman" w:hAnsi="Times New Roman"/>
          <w:i/>
        </w:rPr>
        <w:t>: Proportion investing against loss in each round in the repeated deterministic prisoner's dilemma (DPD-rep), repeated stochastic prisoner's dilemma (SPD-rep), and precommitted stochastic prisoner's dilemma (SPD-pre) conditions.</w:t>
      </w:r>
      <w:r w:rsidR="00B12C67" w:rsidRPr="00B12C67">
        <w:rPr>
          <w:rFonts w:ascii="Times New Roman" w:hAnsi="Times New Roman"/>
          <w:i/>
        </w:rPr>
        <w:t xml:space="preserve"> </w:t>
      </w:r>
      <w:r w:rsidR="00B12C67" w:rsidRPr="002208A3">
        <w:rPr>
          <w:rFonts w:ascii="Times New Roman" w:hAnsi="Times New Roman"/>
          <w:i/>
        </w:rPr>
        <w:t>Error bars represent +/- one standard error.</w:t>
      </w:r>
    </w:p>
    <w:p w14:paraId="1C969E5E" w14:textId="444B9CC8" w:rsidR="00AB3BB8" w:rsidRPr="00E3531D" w:rsidRDefault="00A030A8" w:rsidP="00AF2B85">
      <w:pPr>
        <w:spacing w:line="480" w:lineRule="auto"/>
        <w:rPr>
          <w:rFonts w:ascii="Times New Roman" w:hAnsi="Times New Roman"/>
          <w:lang w:val="en-CA"/>
        </w:rPr>
      </w:pPr>
      <w:r>
        <w:rPr>
          <w:rFonts w:ascii="Times New Roman" w:hAnsi="Times New Roman"/>
          <w:noProof/>
          <w:lang w:val="en-CA"/>
        </w:rPr>
        <w:drawing>
          <wp:inline distT="0" distB="0" distL="0" distR="0" wp14:anchorId="374AE8DF" wp14:editId="6FDF800A">
            <wp:extent cx="5764695" cy="3918184"/>
            <wp:effectExtent l="0" t="0" r="7620" b="0"/>
            <wp:docPr id="9616908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2637" cy="3923582"/>
                    </a:xfrm>
                    <a:prstGeom prst="rect">
                      <a:avLst/>
                    </a:prstGeom>
                    <a:noFill/>
                  </pic:spPr>
                </pic:pic>
              </a:graphicData>
            </a:graphic>
          </wp:inline>
        </w:drawing>
      </w:r>
    </w:p>
    <w:p w14:paraId="59463145" w14:textId="74AC92C7" w:rsidR="009B47AE" w:rsidRPr="002208A3" w:rsidRDefault="009B47AE" w:rsidP="00AF2B85">
      <w:pPr>
        <w:spacing w:line="480" w:lineRule="auto"/>
        <w:rPr>
          <w:rFonts w:ascii="Times New Roman" w:hAnsi="Times New Roman"/>
          <w:i/>
        </w:rPr>
      </w:pPr>
      <w:r w:rsidRPr="002208A3">
        <w:rPr>
          <w:rFonts w:ascii="Times New Roman" w:hAnsi="Times New Roman"/>
          <w:i/>
        </w:rPr>
        <w:t>Study 1: Discussion</w:t>
      </w:r>
    </w:p>
    <w:p w14:paraId="74DD1BF3" w14:textId="7DA1B244" w:rsidR="009B47AE" w:rsidRPr="002208A3" w:rsidRDefault="00F7466F" w:rsidP="00AF2B85">
      <w:pPr>
        <w:spacing w:line="480" w:lineRule="auto"/>
        <w:rPr>
          <w:rFonts w:ascii="Times New Roman" w:hAnsi="Times New Roman"/>
        </w:rPr>
      </w:pPr>
      <w:r w:rsidRPr="002208A3">
        <w:rPr>
          <w:rFonts w:ascii="Times New Roman" w:hAnsi="Times New Roman"/>
        </w:rPr>
        <w:tab/>
      </w:r>
      <w:r w:rsidR="00D12925" w:rsidRPr="002208A3">
        <w:rPr>
          <w:rFonts w:ascii="Times New Roman" w:hAnsi="Times New Roman"/>
        </w:rPr>
        <w:t>C</w:t>
      </w:r>
      <w:r w:rsidR="008E1351" w:rsidRPr="002208A3">
        <w:rPr>
          <w:rFonts w:ascii="Times New Roman" w:hAnsi="Times New Roman"/>
        </w:rPr>
        <w:t xml:space="preserve">ooperation rates in a </w:t>
      </w:r>
      <w:r w:rsidR="00AB4C4D">
        <w:rPr>
          <w:rFonts w:ascii="Times New Roman" w:hAnsi="Times New Roman"/>
        </w:rPr>
        <w:t xml:space="preserve">repeated </w:t>
      </w:r>
      <w:r w:rsidR="008E1351" w:rsidRPr="002208A3">
        <w:rPr>
          <w:rFonts w:ascii="Times New Roman" w:hAnsi="Times New Roman"/>
        </w:rPr>
        <w:t xml:space="preserve">social dilemma </w:t>
      </w:r>
      <w:r w:rsidR="00D12925" w:rsidRPr="002208A3">
        <w:rPr>
          <w:rFonts w:ascii="Times New Roman" w:hAnsi="Times New Roman"/>
        </w:rPr>
        <w:t>are</w:t>
      </w:r>
      <w:r w:rsidR="008E1351" w:rsidRPr="002208A3">
        <w:rPr>
          <w:rFonts w:ascii="Times New Roman" w:hAnsi="Times New Roman"/>
        </w:rPr>
        <w:t xml:space="preserve"> much lower when outcomes </w:t>
      </w:r>
      <w:r w:rsidR="00D12925" w:rsidRPr="002208A3">
        <w:rPr>
          <w:rFonts w:ascii="Times New Roman" w:hAnsi="Times New Roman"/>
        </w:rPr>
        <w:t>are</w:t>
      </w:r>
      <w:r w:rsidR="008E1351" w:rsidRPr="002208A3">
        <w:rPr>
          <w:rFonts w:ascii="Times New Roman" w:hAnsi="Times New Roman"/>
        </w:rPr>
        <w:t xml:space="preserve"> </w:t>
      </w:r>
      <w:r w:rsidR="005B1581">
        <w:rPr>
          <w:rFonts w:ascii="Times New Roman" w:hAnsi="Times New Roman"/>
        </w:rPr>
        <w:t>stochastic (versus deterministic)</w:t>
      </w:r>
      <w:r w:rsidR="00AB4C4D">
        <w:rPr>
          <w:rFonts w:ascii="Times New Roman" w:hAnsi="Times New Roman"/>
        </w:rPr>
        <w:t>, supporting H1a</w:t>
      </w:r>
      <w:r w:rsidR="008E1351" w:rsidRPr="002208A3">
        <w:rPr>
          <w:rFonts w:ascii="Times New Roman" w:hAnsi="Times New Roman"/>
        </w:rPr>
        <w:t>. However, forcing participants to precommit their choices</w:t>
      </w:r>
      <w:r w:rsidR="00C8765C" w:rsidRPr="002208A3">
        <w:rPr>
          <w:rFonts w:ascii="Times New Roman" w:hAnsi="Times New Roman"/>
        </w:rPr>
        <w:t xml:space="preserve"> in the </w:t>
      </w:r>
      <w:r w:rsidR="005B1581">
        <w:rPr>
          <w:rFonts w:ascii="Times New Roman" w:hAnsi="Times New Roman"/>
        </w:rPr>
        <w:t>stochastic</w:t>
      </w:r>
      <w:r w:rsidR="005B1581" w:rsidRPr="002208A3">
        <w:rPr>
          <w:rFonts w:ascii="Times New Roman" w:hAnsi="Times New Roman"/>
        </w:rPr>
        <w:t xml:space="preserve"> </w:t>
      </w:r>
      <w:r w:rsidR="00C8765C" w:rsidRPr="002208A3">
        <w:rPr>
          <w:rFonts w:ascii="Times New Roman" w:hAnsi="Times New Roman"/>
        </w:rPr>
        <w:t>dilemma</w:t>
      </w:r>
      <w:r w:rsidR="008E1351" w:rsidRPr="002208A3">
        <w:rPr>
          <w:rFonts w:ascii="Times New Roman" w:hAnsi="Times New Roman"/>
        </w:rPr>
        <w:t xml:space="preserve"> </w:t>
      </w:r>
      <w:r w:rsidR="005A58C9" w:rsidRPr="002208A3">
        <w:rPr>
          <w:rFonts w:ascii="Times New Roman" w:hAnsi="Times New Roman"/>
        </w:rPr>
        <w:t xml:space="preserve">significantly </w:t>
      </w:r>
      <w:r w:rsidR="00EA1399" w:rsidRPr="002208A3">
        <w:rPr>
          <w:rFonts w:ascii="Times New Roman" w:hAnsi="Times New Roman"/>
        </w:rPr>
        <w:t>reduce</w:t>
      </w:r>
      <w:r w:rsidR="00EA1399">
        <w:rPr>
          <w:rFonts w:ascii="Times New Roman" w:hAnsi="Times New Roman"/>
        </w:rPr>
        <w:t>s</w:t>
      </w:r>
      <w:r w:rsidR="00EA1399" w:rsidRPr="002208A3">
        <w:rPr>
          <w:rFonts w:ascii="Times New Roman" w:hAnsi="Times New Roman"/>
        </w:rPr>
        <w:t xml:space="preserve"> </w:t>
      </w:r>
      <w:r w:rsidR="008E1351" w:rsidRPr="002208A3">
        <w:rPr>
          <w:rFonts w:ascii="Times New Roman" w:hAnsi="Times New Roman"/>
        </w:rPr>
        <w:t>this gap</w:t>
      </w:r>
      <w:r w:rsidR="00AB4C4D">
        <w:rPr>
          <w:rFonts w:ascii="Times New Roman" w:hAnsi="Times New Roman"/>
        </w:rPr>
        <w:t>, supporting H1b</w:t>
      </w:r>
      <w:r w:rsidR="008E1351" w:rsidRPr="002208A3">
        <w:rPr>
          <w:rFonts w:ascii="Times New Roman" w:hAnsi="Times New Roman"/>
        </w:rPr>
        <w:t xml:space="preserve">. </w:t>
      </w:r>
    </w:p>
    <w:p w14:paraId="61862B17" w14:textId="5CFB44AA" w:rsidR="00A61353" w:rsidRPr="002208A3" w:rsidRDefault="00A61353" w:rsidP="00AF2B85">
      <w:pPr>
        <w:spacing w:line="480" w:lineRule="auto"/>
        <w:rPr>
          <w:rFonts w:ascii="Times New Roman" w:hAnsi="Times New Roman"/>
        </w:rPr>
      </w:pPr>
      <w:r w:rsidRPr="002208A3">
        <w:rPr>
          <w:rFonts w:ascii="Times New Roman" w:hAnsi="Times New Roman"/>
        </w:rPr>
        <w:tab/>
        <w:t>Several lines of evidence suggest that players in stochastic prisoner's dilemmas are not very responsive to their counterpart: players are less likely to mention their counterpart</w:t>
      </w:r>
      <w:r w:rsidR="00E94EB8" w:rsidRPr="002208A3">
        <w:rPr>
          <w:rFonts w:ascii="Times New Roman" w:hAnsi="Times New Roman"/>
        </w:rPr>
        <w:t xml:space="preserve"> in stochastic games, their choices are less well correlated with their </w:t>
      </w:r>
      <w:r w:rsidR="00E94EB8" w:rsidRPr="002208A3">
        <w:rPr>
          <w:rFonts w:ascii="Times New Roman" w:hAnsi="Times New Roman"/>
        </w:rPr>
        <w:lastRenderedPageBreak/>
        <w:t xml:space="preserve">predictions of their counterparts' choices, </w:t>
      </w:r>
      <w:r w:rsidR="00C72FA4" w:rsidRPr="002208A3">
        <w:rPr>
          <w:rFonts w:ascii="Times New Roman" w:hAnsi="Times New Roman"/>
        </w:rPr>
        <w:t xml:space="preserve">their choices are less well correlated with their counterparts' previous choices, and they </w:t>
      </w:r>
      <w:r w:rsidR="00AB4C4D" w:rsidRPr="002208A3">
        <w:rPr>
          <w:rFonts w:ascii="Times New Roman" w:hAnsi="Times New Roman"/>
        </w:rPr>
        <w:t>do</w:t>
      </w:r>
      <w:r w:rsidR="00AB4C4D">
        <w:rPr>
          <w:rFonts w:ascii="Times New Roman" w:hAnsi="Times New Roman"/>
        </w:rPr>
        <w:t xml:space="preserve"> not</w:t>
      </w:r>
      <w:r w:rsidR="00AB4C4D" w:rsidRPr="002208A3">
        <w:rPr>
          <w:rFonts w:ascii="Times New Roman" w:hAnsi="Times New Roman"/>
        </w:rPr>
        <w:t xml:space="preserve"> </w:t>
      </w:r>
      <w:r w:rsidR="00C72FA4" w:rsidRPr="002208A3">
        <w:rPr>
          <w:rFonts w:ascii="Times New Roman" w:hAnsi="Times New Roman"/>
        </w:rPr>
        <w:t xml:space="preserve">show the classic end-game drop-off normally seen in social dilemmas. </w:t>
      </w:r>
    </w:p>
    <w:p w14:paraId="73300E42" w14:textId="3DC9CFD3" w:rsidR="00844F71" w:rsidRPr="002208A3" w:rsidRDefault="00E63C68" w:rsidP="00AF2B85">
      <w:pPr>
        <w:spacing w:line="480" w:lineRule="auto"/>
        <w:rPr>
          <w:rFonts w:ascii="Times New Roman" w:hAnsi="Times New Roman"/>
        </w:rPr>
      </w:pPr>
      <w:r w:rsidRPr="002208A3">
        <w:rPr>
          <w:rFonts w:ascii="Times New Roman" w:hAnsi="Times New Roman"/>
        </w:rPr>
        <w:tab/>
      </w:r>
      <w:r w:rsidR="00D12925" w:rsidRPr="002208A3">
        <w:rPr>
          <w:rFonts w:ascii="Times New Roman" w:hAnsi="Times New Roman"/>
        </w:rPr>
        <w:t xml:space="preserve">It seems, then, that </w:t>
      </w:r>
      <w:r w:rsidR="002C3EA1" w:rsidRPr="002208A3">
        <w:rPr>
          <w:rFonts w:ascii="Times New Roman" w:hAnsi="Times New Roman"/>
        </w:rPr>
        <w:t xml:space="preserve">players in a stochastic social dilemma are </w:t>
      </w:r>
      <w:r w:rsidR="001A50FE" w:rsidRPr="002208A3">
        <w:rPr>
          <w:rFonts w:ascii="Times New Roman" w:hAnsi="Times New Roman"/>
        </w:rPr>
        <w:t xml:space="preserve">subjectively </w:t>
      </w:r>
      <w:r w:rsidR="002C3EA1" w:rsidRPr="002208A3">
        <w:rPr>
          <w:rFonts w:ascii="Times New Roman" w:hAnsi="Times New Roman"/>
        </w:rPr>
        <w:t>playing a</w:t>
      </w:r>
      <w:r w:rsidR="00AB4C4D">
        <w:rPr>
          <w:rFonts w:ascii="Times New Roman" w:hAnsi="Times New Roman"/>
        </w:rPr>
        <w:t xml:space="preserve">n </w:t>
      </w:r>
      <w:r w:rsidR="00AB4C4D" w:rsidRPr="00511D2D">
        <w:rPr>
          <w:rFonts w:ascii="Times New Roman" w:hAnsi="Times New Roman"/>
          <w:i/>
          <w:iCs/>
        </w:rPr>
        <w:t>outcome risk</w:t>
      </w:r>
      <w:r w:rsidR="00AB4C4D">
        <w:rPr>
          <w:rFonts w:ascii="Times New Roman" w:hAnsi="Times New Roman"/>
        </w:rPr>
        <w:t xml:space="preserve"> </w:t>
      </w:r>
      <w:r w:rsidR="002C3EA1" w:rsidRPr="002208A3">
        <w:rPr>
          <w:rFonts w:ascii="Times New Roman" w:hAnsi="Times New Roman"/>
        </w:rPr>
        <w:t xml:space="preserve">game more than a social dilemma. </w:t>
      </w:r>
      <w:r w:rsidR="000D0F43" w:rsidRPr="002208A3">
        <w:rPr>
          <w:rFonts w:ascii="Times New Roman" w:hAnsi="Times New Roman"/>
        </w:rPr>
        <w:t xml:space="preserve">Indeed, the majority of their </w:t>
      </w:r>
      <w:r w:rsidR="00AB4C4D">
        <w:rPr>
          <w:rFonts w:ascii="Times New Roman" w:hAnsi="Times New Roman"/>
        </w:rPr>
        <w:t>open-ended</w:t>
      </w:r>
      <w:r w:rsidR="00AB4C4D" w:rsidRPr="002208A3">
        <w:rPr>
          <w:rFonts w:ascii="Times New Roman" w:hAnsi="Times New Roman"/>
        </w:rPr>
        <w:t xml:space="preserve"> </w:t>
      </w:r>
      <w:r w:rsidR="000D0F43" w:rsidRPr="002208A3">
        <w:rPr>
          <w:rFonts w:ascii="Times New Roman" w:hAnsi="Times New Roman"/>
        </w:rPr>
        <w:t xml:space="preserve">comments </w:t>
      </w:r>
      <w:r w:rsidR="00AB4C4D">
        <w:rPr>
          <w:rFonts w:ascii="Times New Roman" w:hAnsi="Times New Roman"/>
        </w:rPr>
        <w:t xml:space="preserve">in the SPD conditions </w:t>
      </w:r>
      <w:r w:rsidR="000D0F43" w:rsidRPr="002208A3">
        <w:rPr>
          <w:rFonts w:ascii="Times New Roman" w:hAnsi="Times New Roman"/>
        </w:rPr>
        <w:t>mentioned probability</w:t>
      </w:r>
      <w:r w:rsidR="00CA49AA" w:rsidRPr="002208A3">
        <w:rPr>
          <w:rFonts w:ascii="Times New Roman" w:hAnsi="Times New Roman"/>
        </w:rPr>
        <w:t xml:space="preserve">, </w:t>
      </w:r>
      <w:r w:rsidR="00FE21B2" w:rsidRPr="002208A3">
        <w:rPr>
          <w:rFonts w:ascii="Times New Roman" w:hAnsi="Times New Roman"/>
        </w:rPr>
        <w:t>but</w:t>
      </w:r>
      <w:r w:rsidR="00CA49AA" w:rsidRPr="002208A3">
        <w:rPr>
          <w:rFonts w:ascii="Times New Roman" w:hAnsi="Times New Roman"/>
        </w:rPr>
        <w:t xml:space="preserve"> </w:t>
      </w:r>
      <w:r w:rsidR="00FE21B2" w:rsidRPr="002208A3">
        <w:rPr>
          <w:rFonts w:ascii="Times New Roman" w:hAnsi="Times New Roman"/>
        </w:rPr>
        <w:t xml:space="preserve">not </w:t>
      </w:r>
      <w:r w:rsidR="00CA49AA" w:rsidRPr="002208A3">
        <w:rPr>
          <w:rFonts w:ascii="Times New Roman" w:hAnsi="Times New Roman"/>
        </w:rPr>
        <w:t>their counterpart</w:t>
      </w:r>
      <w:r w:rsidR="000D0F43" w:rsidRPr="002208A3">
        <w:rPr>
          <w:rFonts w:ascii="Times New Roman" w:hAnsi="Times New Roman"/>
        </w:rPr>
        <w:t xml:space="preserve">. </w:t>
      </w:r>
      <w:r w:rsidR="00422E87" w:rsidRPr="002208A3">
        <w:rPr>
          <w:rFonts w:ascii="Times New Roman" w:hAnsi="Times New Roman"/>
        </w:rPr>
        <w:t>As we know from prospect theory, people tend to be risk-seeking in the domain of losses</w:t>
      </w:r>
      <w:r w:rsidR="008456EE">
        <w:rPr>
          <w:rFonts w:ascii="Times New Roman" w:hAnsi="Times New Roman"/>
        </w:rPr>
        <w:t xml:space="preserve"> </w:t>
      </w:r>
      <w:r w:rsidR="008456EE">
        <w:rPr>
          <w:rFonts w:ascii="Times New Roman" w:hAnsi="Times New Roman"/>
        </w:rPr>
        <w:fldChar w:fldCharType="begin" w:fldLock="1"/>
      </w:r>
      <w:r w:rsidR="005B1C17">
        <w:rPr>
          <w:rFonts w:ascii="Times New Roman" w:hAnsi="Times New Roman"/>
        </w:rPr>
        <w:instrText>ADDIN CSL_CITATION {"citationItems":[{"id":"ITEM-1","itemData":{"author":[{"dropping-particle":"","family":"Kahneman","given":"Daniel","non-dropping-particle":"","parse-names":false,"suffix":""},{"dropping-particle":"","family":"Tversky","given":"Amos","non-dropping-particle":"","parse-names":false,"suffix":""}],"container-title":"Handbook of the fundamentals of financial decision making: Part I","id":"ITEM-1","issued":{"date-parts":[["2013"]]},"page":"99-127","publisher":"World Scientific","title":"Prospect theory: An analysis of decision under risk","type":"chapter"},"uris":["http://www.mendeley.com/documents/?uuid=bf37cf3d-e5ba-4ae3-a3d6-fdc0fc701a14"]}],"mendeley":{"formattedCitation":"(Kahneman &amp; Tversky, 2013)","plainTextFormattedCitation":"(Kahneman &amp; Tversky, 2013)","previouslyFormattedCitation":"(Kahneman and Tversky 2013)"},"properties":{"noteIndex":0},"schema":"https://github.com/citation-style-language/schema/raw/master/csl-citation.json"}</w:instrText>
      </w:r>
      <w:r w:rsidR="008456EE">
        <w:rPr>
          <w:rFonts w:ascii="Times New Roman" w:hAnsi="Times New Roman"/>
        </w:rPr>
        <w:fldChar w:fldCharType="separate"/>
      </w:r>
      <w:r w:rsidR="005B1C17" w:rsidRPr="005B1C17">
        <w:rPr>
          <w:rFonts w:ascii="Times New Roman" w:hAnsi="Times New Roman"/>
          <w:noProof/>
        </w:rPr>
        <w:t>(Kahneman &amp; Tversky, 2013)</w:t>
      </w:r>
      <w:r w:rsidR="008456EE">
        <w:rPr>
          <w:rFonts w:ascii="Times New Roman" w:hAnsi="Times New Roman"/>
        </w:rPr>
        <w:fldChar w:fldCharType="end"/>
      </w:r>
      <w:r w:rsidR="00422E87" w:rsidRPr="002208A3">
        <w:rPr>
          <w:rFonts w:ascii="Times New Roman" w:hAnsi="Times New Roman"/>
        </w:rPr>
        <w:t xml:space="preserve">. This </w:t>
      </w:r>
      <w:r w:rsidR="008D5FAB">
        <w:rPr>
          <w:rFonts w:ascii="Times New Roman" w:hAnsi="Times New Roman"/>
        </w:rPr>
        <w:t xml:space="preserve">may </w:t>
      </w:r>
      <w:r w:rsidR="00422E87" w:rsidRPr="002208A3">
        <w:rPr>
          <w:rFonts w:ascii="Times New Roman" w:hAnsi="Times New Roman"/>
        </w:rPr>
        <w:t>explain why invest</w:t>
      </w:r>
      <w:r w:rsidR="000149D0" w:rsidRPr="002208A3">
        <w:rPr>
          <w:rFonts w:ascii="Times New Roman" w:hAnsi="Times New Roman"/>
        </w:rPr>
        <w:t xml:space="preserve">ment rates are low in </w:t>
      </w:r>
      <w:r w:rsidR="00AB4C4D">
        <w:rPr>
          <w:rFonts w:ascii="Times New Roman" w:hAnsi="Times New Roman"/>
        </w:rPr>
        <w:t xml:space="preserve">SPDs with low probability, large magnitude losses (i.e., </w:t>
      </w:r>
      <w:r w:rsidR="002C2DB4" w:rsidRPr="002208A3">
        <w:rPr>
          <w:rFonts w:ascii="Times New Roman" w:hAnsi="Times New Roman"/>
        </w:rPr>
        <w:t>interdependent security</w:t>
      </w:r>
      <w:r w:rsidR="000149D0" w:rsidRPr="002208A3">
        <w:rPr>
          <w:rFonts w:ascii="Times New Roman" w:hAnsi="Times New Roman"/>
        </w:rPr>
        <w:t xml:space="preserve"> games</w:t>
      </w:r>
      <w:r w:rsidR="00AB4C4D">
        <w:rPr>
          <w:rFonts w:ascii="Times New Roman" w:hAnsi="Times New Roman"/>
        </w:rPr>
        <w:t>)</w:t>
      </w:r>
      <w:r w:rsidR="00422E87" w:rsidRPr="002208A3">
        <w:rPr>
          <w:rFonts w:ascii="Times New Roman" w:hAnsi="Times New Roman"/>
        </w:rPr>
        <w:t xml:space="preserve">: investment </w:t>
      </w:r>
      <w:r w:rsidR="00F946D2" w:rsidRPr="002208A3">
        <w:rPr>
          <w:rFonts w:ascii="Times New Roman" w:hAnsi="Times New Roman"/>
        </w:rPr>
        <w:t>entails</w:t>
      </w:r>
      <w:r w:rsidR="00422E87" w:rsidRPr="002208A3">
        <w:rPr>
          <w:rFonts w:ascii="Times New Roman" w:hAnsi="Times New Roman"/>
        </w:rPr>
        <w:t xml:space="preserve"> a sure loss, while non-investment is a gamble</w:t>
      </w:r>
      <w:r w:rsidR="00AB4C4D">
        <w:rPr>
          <w:rFonts w:ascii="Times New Roman" w:hAnsi="Times New Roman"/>
        </w:rPr>
        <w:t xml:space="preserve"> that may enable the participants to avoid loss</w:t>
      </w:r>
      <w:r w:rsidR="00422E87" w:rsidRPr="002208A3">
        <w:rPr>
          <w:rFonts w:ascii="Times New Roman" w:hAnsi="Times New Roman"/>
        </w:rPr>
        <w:t xml:space="preserve">. </w:t>
      </w:r>
    </w:p>
    <w:p w14:paraId="159FF250" w14:textId="0236964A" w:rsidR="00673600" w:rsidRPr="002208A3" w:rsidRDefault="00673600" w:rsidP="00AF2B85">
      <w:pPr>
        <w:spacing w:line="480" w:lineRule="auto"/>
        <w:rPr>
          <w:rFonts w:ascii="Times New Roman" w:hAnsi="Times New Roman"/>
        </w:rPr>
      </w:pPr>
      <w:r w:rsidRPr="002208A3">
        <w:rPr>
          <w:rFonts w:ascii="Times New Roman" w:hAnsi="Times New Roman"/>
        </w:rPr>
        <w:tab/>
        <w:t xml:space="preserve">Building on previous literature </w:t>
      </w:r>
      <w:r w:rsidR="000E0A22">
        <w:rPr>
          <w:rFonts w:ascii="Times New Roman" w:hAnsi="Times New Roman"/>
        </w:rPr>
        <w:t>on risk</w:t>
      </w:r>
      <w:r w:rsidRPr="002208A3">
        <w:rPr>
          <w:rFonts w:ascii="Times New Roman" w:hAnsi="Times New Roman"/>
        </w:rPr>
        <w:t xml:space="preserve"> and the framing of multiple prospects, precommitment appears to be a successful, though modest, intervention for raising investment rates in </w:t>
      </w:r>
      <w:r w:rsidR="000E0A22">
        <w:rPr>
          <w:rFonts w:ascii="Times New Roman" w:hAnsi="Times New Roman"/>
        </w:rPr>
        <w:t xml:space="preserve">loss-framed, </w:t>
      </w:r>
      <w:r w:rsidRPr="002208A3">
        <w:rPr>
          <w:rFonts w:ascii="Times New Roman" w:hAnsi="Times New Roman"/>
        </w:rPr>
        <w:t xml:space="preserve">stochastic social dilemmas. Presumably, those participants who play one round at a time see a 4% chance of loss as very low, and decide not to invest in protection. In contrast, those participants who must precommit their choices </w:t>
      </w:r>
      <w:r w:rsidR="008D5FAB">
        <w:rPr>
          <w:rFonts w:ascii="Times New Roman" w:hAnsi="Times New Roman"/>
        </w:rPr>
        <w:t xml:space="preserve">over </w:t>
      </w:r>
      <w:r w:rsidRPr="002208A3">
        <w:rPr>
          <w:rFonts w:ascii="Times New Roman" w:hAnsi="Times New Roman"/>
        </w:rPr>
        <w:t xml:space="preserve">a </w:t>
      </w:r>
      <w:r w:rsidR="008D5FAB">
        <w:rPr>
          <w:rFonts w:ascii="Times New Roman" w:hAnsi="Times New Roman"/>
        </w:rPr>
        <w:t xml:space="preserve">much </w:t>
      </w:r>
      <w:r w:rsidRPr="002208A3">
        <w:rPr>
          <w:rFonts w:ascii="Times New Roman" w:hAnsi="Times New Roman"/>
        </w:rPr>
        <w:t xml:space="preserve">longer time horizon may </w:t>
      </w:r>
      <w:r w:rsidR="00477A68">
        <w:rPr>
          <w:rFonts w:ascii="Times New Roman" w:hAnsi="Times New Roman"/>
        </w:rPr>
        <w:t xml:space="preserve">be nudged into pursuing multiple goals instead of one. In other words, they would </w:t>
      </w:r>
      <w:r w:rsidR="006434EE">
        <w:rPr>
          <w:rFonts w:ascii="Times New Roman" w:hAnsi="Times New Roman"/>
        </w:rPr>
        <w:t xml:space="preserve">be more likely to plan on “doing </w:t>
      </w:r>
      <w:r w:rsidR="00450D21">
        <w:rPr>
          <w:rFonts w:ascii="Times New Roman" w:hAnsi="Times New Roman"/>
        </w:rPr>
        <w:t>well</w:t>
      </w:r>
      <w:r w:rsidR="006434EE">
        <w:rPr>
          <w:rFonts w:ascii="Times New Roman" w:hAnsi="Times New Roman"/>
        </w:rPr>
        <w:t xml:space="preserve"> overall” in additional to “doing </w:t>
      </w:r>
      <w:r w:rsidR="00450D21">
        <w:rPr>
          <w:rFonts w:ascii="Times New Roman" w:hAnsi="Times New Roman"/>
        </w:rPr>
        <w:t>well</w:t>
      </w:r>
      <w:r w:rsidR="006434EE">
        <w:rPr>
          <w:rFonts w:ascii="Times New Roman" w:hAnsi="Times New Roman"/>
        </w:rPr>
        <w:t xml:space="preserve"> on </w:t>
      </w:r>
      <w:r w:rsidR="00450D21">
        <w:rPr>
          <w:rFonts w:ascii="Times New Roman" w:hAnsi="Times New Roman"/>
        </w:rPr>
        <w:t>the next</w:t>
      </w:r>
      <w:r w:rsidR="006434EE">
        <w:rPr>
          <w:rFonts w:ascii="Times New Roman" w:hAnsi="Times New Roman"/>
        </w:rPr>
        <w:t xml:space="preserve"> round”. </w:t>
      </w:r>
      <w:r w:rsidR="00D26CFF">
        <w:rPr>
          <w:rFonts w:ascii="Times New Roman" w:hAnsi="Times New Roman"/>
        </w:rPr>
        <w:t xml:space="preserve"> </w:t>
      </w:r>
      <w:r w:rsidR="00760D0C">
        <w:rPr>
          <w:rFonts w:ascii="Times New Roman" w:hAnsi="Times New Roman"/>
        </w:rPr>
        <w:t>We explore this possibility in the following studies.</w:t>
      </w:r>
    </w:p>
    <w:p w14:paraId="3F9A4237" w14:textId="4C1315B6" w:rsidR="00F7466F" w:rsidRPr="002208A3" w:rsidRDefault="009A42B1" w:rsidP="00AF2B85">
      <w:pPr>
        <w:spacing w:line="480" w:lineRule="auto"/>
        <w:rPr>
          <w:rFonts w:ascii="Times New Roman" w:hAnsi="Times New Roman"/>
        </w:rPr>
      </w:pPr>
      <w:r w:rsidRPr="002208A3">
        <w:rPr>
          <w:rFonts w:ascii="Times New Roman" w:hAnsi="Times New Roman"/>
        </w:rPr>
        <w:tab/>
      </w:r>
      <w:r w:rsidR="00DA101F" w:rsidRPr="002208A3">
        <w:rPr>
          <w:rFonts w:ascii="Times New Roman" w:hAnsi="Times New Roman"/>
        </w:rPr>
        <w:t xml:space="preserve">Unlike most previous literature, </w:t>
      </w:r>
      <w:r w:rsidR="00AA68B9">
        <w:rPr>
          <w:rFonts w:ascii="Times New Roman" w:hAnsi="Times New Roman"/>
        </w:rPr>
        <w:t>the</w:t>
      </w:r>
      <w:r w:rsidR="00AA68B9" w:rsidRPr="002208A3">
        <w:rPr>
          <w:rFonts w:ascii="Times New Roman" w:hAnsi="Times New Roman"/>
        </w:rPr>
        <w:t xml:space="preserve"> </w:t>
      </w:r>
      <w:r w:rsidR="00DA101F" w:rsidRPr="002208A3">
        <w:rPr>
          <w:rFonts w:ascii="Times New Roman" w:hAnsi="Times New Roman"/>
        </w:rPr>
        <w:t>game</w:t>
      </w:r>
      <w:r w:rsidR="00AA68B9">
        <w:rPr>
          <w:rFonts w:ascii="Times New Roman" w:hAnsi="Times New Roman"/>
        </w:rPr>
        <w:t>s we tested</w:t>
      </w:r>
      <w:r w:rsidR="00DA101F" w:rsidRPr="002208A3">
        <w:rPr>
          <w:rFonts w:ascii="Times New Roman" w:hAnsi="Times New Roman"/>
        </w:rPr>
        <w:t xml:space="preserve"> had an environmental cover story. We used this to make the </w:t>
      </w:r>
      <w:r w:rsidR="00A321E0">
        <w:rPr>
          <w:rFonts w:ascii="Times New Roman" w:hAnsi="Times New Roman"/>
        </w:rPr>
        <w:t xml:space="preserve">scenario </w:t>
      </w:r>
      <w:r w:rsidR="00DA101F" w:rsidRPr="002208A3">
        <w:rPr>
          <w:rFonts w:ascii="Times New Roman" w:hAnsi="Times New Roman"/>
        </w:rPr>
        <w:t xml:space="preserve">more interesting and understandable to participants, giving it context. However, it is possible that this framing interacted with </w:t>
      </w:r>
      <w:r w:rsidR="00DA101F" w:rsidRPr="002208A3">
        <w:rPr>
          <w:rFonts w:ascii="Times New Roman" w:hAnsi="Times New Roman"/>
        </w:rPr>
        <w:lastRenderedPageBreak/>
        <w:t xml:space="preserve">our manipulations and influenced our results. Therefore, we </w:t>
      </w:r>
      <w:r w:rsidR="00943422">
        <w:rPr>
          <w:rFonts w:ascii="Times New Roman" w:hAnsi="Times New Roman"/>
        </w:rPr>
        <w:t>ran</w:t>
      </w:r>
      <w:r w:rsidR="00943422" w:rsidRPr="002208A3">
        <w:rPr>
          <w:rFonts w:ascii="Times New Roman" w:hAnsi="Times New Roman"/>
        </w:rPr>
        <w:t xml:space="preserve"> </w:t>
      </w:r>
      <w:r w:rsidR="00DA101F" w:rsidRPr="002208A3">
        <w:rPr>
          <w:rFonts w:ascii="Times New Roman" w:hAnsi="Times New Roman"/>
        </w:rPr>
        <w:t>a follow-up study in which we re-tested our key manipulation -- precommitment in a stochastic prisoner</w:t>
      </w:r>
      <w:r w:rsidR="00D07A3B">
        <w:rPr>
          <w:rFonts w:ascii="Times New Roman" w:hAnsi="Times New Roman"/>
        </w:rPr>
        <w:t>’</w:t>
      </w:r>
      <w:r w:rsidR="00DA101F" w:rsidRPr="002208A3">
        <w:rPr>
          <w:rFonts w:ascii="Times New Roman" w:hAnsi="Times New Roman"/>
        </w:rPr>
        <w:t xml:space="preserve">s dilemma -- </w:t>
      </w:r>
      <w:r w:rsidR="00AA68B9">
        <w:rPr>
          <w:rFonts w:ascii="Times New Roman" w:hAnsi="Times New Roman"/>
        </w:rPr>
        <w:t>using</w:t>
      </w:r>
      <w:r w:rsidR="00AA68B9" w:rsidRPr="002208A3">
        <w:rPr>
          <w:rFonts w:ascii="Times New Roman" w:hAnsi="Times New Roman"/>
        </w:rPr>
        <w:t xml:space="preserve"> </w:t>
      </w:r>
      <w:r w:rsidR="00DA101F" w:rsidRPr="002208A3">
        <w:rPr>
          <w:rFonts w:ascii="Times New Roman" w:hAnsi="Times New Roman"/>
        </w:rPr>
        <w:t xml:space="preserve">a financial frame. </w:t>
      </w:r>
      <w:r w:rsidR="00650238">
        <w:rPr>
          <w:rFonts w:ascii="Times New Roman" w:hAnsi="Times New Roman"/>
        </w:rPr>
        <w:t xml:space="preserve">The </w:t>
      </w:r>
      <w:r w:rsidR="00AA68B9">
        <w:rPr>
          <w:rFonts w:ascii="Times New Roman" w:hAnsi="Times New Roman"/>
        </w:rPr>
        <w:t xml:space="preserve">results in the </w:t>
      </w:r>
      <w:r w:rsidR="00650238">
        <w:rPr>
          <w:rFonts w:ascii="Times New Roman" w:hAnsi="Times New Roman"/>
        </w:rPr>
        <w:t xml:space="preserve">financial frame mirror the findings of the environmental frame, ruling out the possibility of results being </w:t>
      </w:r>
      <w:r w:rsidR="00AA68B9">
        <w:rPr>
          <w:rFonts w:ascii="Times New Roman" w:hAnsi="Times New Roman"/>
        </w:rPr>
        <w:t xml:space="preserve">specific </w:t>
      </w:r>
      <w:r w:rsidR="00650238">
        <w:rPr>
          <w:rFonts w:ascii="Times New Roman" w:hAnsi="Times New Roman"/>
        </w:rPr>
        <w:t xml:space="preserve">to the </w:t>
      </w:r>
      <w:r w:rsidR="00AA68B9">
        <w:rPr>
          <w:rFonts w:ascii="Times New Roman" w:hAnsi="Times New Roman"/>
        </w:rPr>
        <w:t>cover story employed</w:t>
      </w:r>
      <w:r w:rsidR="00650238">
        <w:rPr>
          <w:rFonts w:ascii="Times New Roman" w:hAnsi="Times New Roman"/>
        </w:rPr>
        <w:t xml:space="preserve"> (full details on </w:t>
      </w:r>
      <w:r w:rsidR="00EE0BEE">
        <w:rPr>
          <w:rFonts w:ascii="Times New Roman" w:hAnsi="Times New Roman"/>
        </w:rPr>
        <w:t xml:space="preserve">the </w:t>
      </w:r>
      <w:r w:rsidR="00650238">
        <w:rPr>
          <w:rFonts w:ascii="Times New Roman" w:hAnsi="Times New Roman"/>
        </w:rPr>
        <w:t>participants, method</w:t>
      </w:r>
      <w:r w:rsidR="00EE0BEE">
        <w:rPr>
          <w:rFonts w:ascii="Times New Roman" w:hAnsi="Times New Roman"/>
        </w:rPr>
        <w:t>s</w:t>
      </w:r>
      <w:r w:rsidR="00650238">
        <w:rPr>
          <w:rFonts w:ascii="Times New Roman" w:hAnsi="Times New Roman"/>
        </w:rPr>
        <w:t xml:space="preserve">, and results </w:t>
      </w:r>
      <w:r w:rsidR="00B76773">
        <w:rPr>
          <w:rFonts w:ascii="Times New Roman" w:hAnsi="Times New Roman"/>
        </w:rPr>
        <w:t xml:space="preserve">of this study can be found </w:t>
      </w:r>
      <w:r w:rsidR="00650238">
        <w:rPr>
          <w:rFonts w:ascii="Times New Roman" w:hAnsi="Times New Roman"/>
        </w:rPr>
        <w:t xml:space="preserve">in Web Appendix A). </w:t>
      </w:r>
    </w:p>
    <w:p w14:paraId="060E3DAE" w14:textId="03FEA0C6" w:rsidR="000339BF" w:rsidRPr="002208A3" w:rsidRDefault="00D500EB" w:rsidP="00B804C9">
      <w:pPr>
        <w:spacing w:line="480" w:lineRule="auto"/>
        <w:ind w:firstLine="720"/>
        <w:rPr>
          <w:rFonts w:ascii="Times New Roman" w:hAnsi="Times New Roman"/>
        </w:rPr>
      </w:pPr>
      <w:r>
        <w:rPr>
          <w:rFonts w:ascii="Times New Roman" w:hAnsi="Times New Roman"/>
        </w:rPr>
        <w:t>F</w:t>
      </w:r>
      <w:r w:rsidR="003A5807" w:rsidRPr="002208A3">
        <w:rPr>
          <w:rFonts w:ascii="Times New Roman" w:hAnsi="Times New Roman"/>
        </w:rPr>
        <w:t xml:space="preserve">orcing participants to precommit their choices also </w:t>
      </w:r>
      <w:proofErr w:type="gramStart"/>
      <w:r w:rsidR="003A5807" w:rsidRPr="002208A3">
        <w:rPr>
          <w:rFonts w:ascii="Times New Roman" w:hAnsi="Times New Roman"/>
        </w:rPr>
        <w:t>limits</w:t>
      </w:r>
      <w:proofErr w:type="gramEnd"/>
      <w:r w:rsidR="003A5807" w:rsidRPr="002208A3">
        <w:rPr>
          <w:rFonts w:ascii="Times New Roman" w:hAnsi="Times New Roman"/>
        </w:rPr>
        <w:t xml:space="preserve"> their ability to interact with each other, raising possible confounds. For example, perhaps some participants are motivated to outperform their counterpart, and so avoid the sure loss </w:t>
      </w:r>
      <w:r w:rsidR="00D23BA8">
        <w:rPr>
          <w:rFonts w:ascii="Times New Roman" w:hAnsi="Times New Roman"/>
        </w:rPr>
        <w:t>associated with</w:t>
      </w:r>
      <w:r w:rsidR="00D23BA8" w:rsidRPr="002208A3">
        <w:rPr>
          <w:rFonts w:ascii="Times New Roman" w:hAnsi="Times New Roman"/>
        </w:rPr>
        <w:t xml:space="preserve"> invest</w:t>
      </w:r>
      <w:r w:rsidR="00D23BA8">
        <w:rPr>
          <w:rFonts w:ascii="Times New Roman" w:hAnsi="Times New Roman"/>
        </w:rPr>
        <w:t>ment</w:t>
      </w:r>
      <w:r w:rsidR="003A5807" w:rsidRPr="002208A3">
        <w:rPr>
          <w:rFonts w:ascii="Times New Roman" w:hAnsi="Times New Roman"/>
        </w:rPr>
        <w:t xml:space="preserve">, but precommitment precludes dynamic comparison and so reduces this tendency, leading to higher investment rates. </w:t>
      </w:r>
      <w:r w:rsidR="002B5ADD">
        <w:rPr>
          <w:rFonts w:ascii="Times New Roman" w:hAnsi="Times New Roman"/>
        </w:rPr>
        <w:t>Furthermore</w:t>
      </w:r>
      <w:r w:rsidR="008765EF" w:rsidRPr="002208A3">
        <w:rPr>
          <w:rFonts w:ascii="Times New Roman" w:hAnsi="Times New Roman"/>
        </w:rPr>
        <w:t xml:space="preserve">, as mentioned in the introduction, blocking the </w:t>
      </w:r>
      <w:r w:rsidR="00D23BA8">
        <w:rPr>
          <w:rFonts w:ascii="Times New Roman" w:hAnsi="Times New Roman"/>
        </w:rPr>
        <w:t xml:space="preserve">immediate </w:t>
      </w:r>
      <w:r w:rsidR="008765EF" w:rsidRPr="002208A3">
        <w:rPr>
          <w:rFonts w:ascii="Times New Roman" w:hAnsi="Times New Roman"/>
        </w:rPr>
        <w:t xml:space="preserve">feedback of </w:t>
      </w:r>
      <w:r w:rsidR="00D23BA8">
        <w:rPr>
          <w:rFonts w:ascii="Times New Roman" w:hAnsi="Times New Roman"/>
        </w:rPr>
        <w:t xml:space="preserve">the </w:t>
      </w:r>
      <w:r w:rsidR="008765EF" w:rsidRPr="002208A3">
        <w:rPr>
          <w:rFonts w:ascii="Times New Roman" w:hAnsi="Times New Roman"/>
        </w:rPr>
        <w:t xml:space="preserve">counterpart’s actions </w:t>
      </w:r>
      <w:r w:rsidR="00D23BA8">
        <w:rPr>
          <w:rFonts w:ascii="Times New Roman" w:hAnsi="Times New Roman"/>
        </w:rPr>
        <w:t>may reduce</w:t>
      </w:r>
      <w:r w:rsidR="00D23BA8" w:rsidRPr="002208A3">
        <w:rPr>
          <w:rFonts w:ascii="Times New Roman" w:hAnsi="Times New Roman"/>
        </w:rPr>
        <w:t xml:space="preserve"> </w:t>
      </w:r>
      <w:r w:rsidR="008765EF" w:rsidRPr="002208A3">
        <w:rPr>
          <w:rFonts w:ascii="Times New Roman" w:hAnsi="Times New Roman"/>
        </w:rPr>
        <w:t>the cooperation rates</w:t>
      </w:r>
      <w:r w:rsidR="008456EE">
        <w:rPr>
          <w:rFonts w:ascii="Times New Roman" w:hAnsi="Times New Roman"/>
        </w:rPr>
        <w:t xml:space="preserve"> </w:t>
      </w:r>
      <w:r w:rsidR="008456EE">
        <w:rPr>
          <w:rFonts w:ascii="Times New Roman" w:hAnsi="Times New Roman"/>
        </w:rPr>
        <w:fldChar w:fldCharType="begin" w:fldLock="1"/>
      </w:r>
      <w:r w:rsidR="005B1C17">
        <w:rPr>
          <w:rFonts w:ascii="Times New Roman" w:hAnsi="Times New Roman"/>
        </w:rPr>
        <w:instrText>ADDIN CSL_CITATION {"citationItems":[{"id":"ITEM-1","itemData":{"ISSN":"0899-8256","author":[{"dropping-particle":"","family":"Faillo","given":"Marco","non-dropping-particle":"","parse-names":false,"suffix":""},{"dropping-particle":"","family":"Grieco","given":"Daniela","non-dropping-particle":"","parse-names":false,"suffix":""},{"dropping-particle":"","family":"Zarri","given":"Luca","non-dropping-particle":"","parse-names":false,"suffix":""}],"container-title":"Games and Economic Behavior","id":"ITEM-1","issue":"1","issued":{"date-parts":[["2013"]]},"page":"271-283","publisher":"Elsevier","title":"Legitimate punishment, feedback, and the enforcement of cooperation","type":"article-journal","volume":"77"},"uris":["http://www.mendeley.com/documents/?uuid=eff13ee9-4582-470a-bb90-3dd89813d9c4"]}],"mendeley":{"formattedCitation":"(Faillo et al., 2013)","plainTextFormattedCitation":"(Faillo et al., 2013)","previouslyFormattedCitation":"(Faillo et al. 2013)"},"properties":{"noteIndex":0},"schema":"https://github.com/citation-style-language/schema/raw/master/csl-citation.json"}</w:instrText>
      </w:r>
      <w:r w:rsidR="008456EE">
        <w:rPr>
          <w:rFonts w:ascii="Times New Roman" w:hAnsi="Times New Roman"/>
        </w:rPr>
        <w:fldChar w:fldCharType="separate"/>
      </w:r>
      <w:r w:rsidR="005B1C17" w:rsidRPr="005B1C17">
        <w:rPr>
          <w:rFonts w:ascii="Times New Roman" w:hAnsi="Times New Roman"/>
          <w:noProof/>
        </w:rPr>
        <w:t>(Faillo et al., 2013)</w:t>
      </w:r>
      <w:r w:rsidR="008456EE">
        <w:rPr>
          <w:rFonts w:ascii="Times New Roman" w:hAnsi="Times New Roman"/>
        </w:rPr>
        <w:fldChar w:fldCharType="end"/>
      </w:r>
      <w:r>
        <w:rPr>
          <w:rFonts w:ascii="Times New Roman" w:hAnsi="Times New Roman"/>
        </w:rPr>
        <w:t>.</w:t>
      </w:r>
      <w:r w:rsidRPr="002208A3" w:rsidDel="00D500EB">
        <w:rPr>
          <w:rFonts w:ascii="Times New Roman" w:hAnsi="Times New Roman"/>
        </w:rPr>
        <w:t xml:space="preserve"> </w:t>
      </w:r>
      <w:r>
        <w:rPr>
          <w:rFonts w:ascii="Times New Roman" w:hAnsi="Times New Roman"/>
        </w:rPr>
        <w:t>T</w:t>
      </w:r>
      <w:r w:rsidR="0083523A" w:rsidRPr="002208A3">
        <w:rPr>
          <w:rFonts w:ascii="Times New Roman" w:hAnsi="Times New Roman"/>
        </w:rPr>
        <w:t>o rule out these possible confounds</w:t>
      </w:r>
      <w:r w:rsidR="008765EF" w:rsidRPr="002208A3">
        <w:rPr>
          <w:rFonts w:ascii="Times New Roman" w:hAnsi="Times New Roman"/>
        </w:rPr>
        <w:t xml:space="preserve"> and </w:t>
      </w:r>
      <w:r>
        <w:rPr>
          <w:rFonts w:ascii="Times New Roman" w:hAnsi="Times New Roman"/>
        </w:rPr>
        <w:t xml:space="preserve">to test the </w:t>
      </w:r>
      <w:r w:rsidR="008765EF" w:rsidRPr="002208A3">
        <w:rPr>
          <w:rFonts w:ascii="Times New Roman" w:hAnsi="Times New Roman"/>
        </w:rPr>
        <w:t xml:space="preserve">hypothesis </w:t>
      </w:r>
      <w:r w:rsidR="00D23BA8">
        <w:rPr>
          <w:rFonts w:ascii="Times New Roman" w:hAnsi="Times New Roman"/>
        </w:rPr>
        <w:t>that precommitment influences responses to outcome risk per se</w:t>
      </w:r>
      <w:r w:rsidR="008765EF" w:rsidRPr="002208A3">
        <w:rPr>
          <w:rFonts w:ascii="Times New Roman" w:hAnsi="Times New Roman"/>
        </w:rPr>
        <w:t>,</w:t>
      </w:r>
      <w:r w:rsidR="0083523A" w:rsidRPr="002208A3">
        <w:rPr>
          <w:rFonts w:ascii="Times New Roman" w:hAnsi="Times New Roman"/>
        </w:rPr>
        <w:t xml:space="preserve"> we ran Study </w:t>
      </w:r>
      <w:r w:rsidR="001C4FCC">
        <w:rPr>
          <w:rFonts w:ascii="Times New Roman" w:hAnsi="Times New Roman"/>
        </w:rPr>
        <w:t xml:space="preserve">2 </w:t>
      </w:r>
      <w:r w:rsidR="0083523A" w:rsidRPr="002208A3">
        <w:rPr>
          <w:rFonts w:ascii="Times New Roman" w:hAnsi="Times New Roman"/>
        </w:rPr>
        <w:t xml:space="preserve">in which participants played a stochastic </w:t>
      </w:r>
      <w:r w:rsidR="0083523A" w:rsidRPr="002208A3">
        <w:rPr>
          <w:rFonts w:ascii="Times New Roman" w:hAnsi="Times New Roman"/>
          <w:i/>
        </w:rPr>
        <w:t>solo game</w:t>
      </w:r>
      <w:r w:rsidR="0083523A" w:rsidRPr="002208A3">
        <w:rPr>
          <w:rFonts w:ascii="Times New Roman" w:hAnsi="Times New Roman"/>
        </w:rPr>
        <w:t xml:space="preserve"> rather than</w:t>
      </w:r>
      <w:r>
        <w:rPr>
          <w:rFonts w:ascii="Times New Roman" w:hAnsi="Times New Roman"/>
        </w:rPr>
        <w:t xml:space="preserve"> engage in</w:t>
      </w:r>
      <w:r w:rsidR="0083523A" w:rsidRPr="002208A3">
        <w:rPr>
          <w:rFonts w:ascii="Times New Roman" w:hAnsi="Times New Roman"/>
        </w:rPr>
        <w:t xml:space="preserve"> a social dilemma</w:t>
      </w:r>
      <w:r w:rsidR="00D23BA8">
        <w:rPr>
          <w:rFonts w:ascii="Times New Roman" w:hAnsi="Times New Roman"/>
        </w:rPr>
        <w:t>, but otherwise employing the same experimental procedure and payoff structure as Study 1</w:t>
      </w:r>
      <w:r w:rsidR="0083523A" w:rsidRPr="002208A3">
        <w:rPr>
          <w:rFonts w:ascii="Times New Roman" w:hAnsi="Times New Roman"/>
        </w:rPr>
        <w:t>. As before, choices were repeated or precommitted</w:t>
      </w:r>
      <w:r w:rsidR="0058607D" w:rsidRPr="002208A3">
        <w:rPr>
          <w:rFonts w:ascii="Times New Roman" w:hAnsi="Times New Roman"/>
        </w:rPr>
        <w:t>, and w</w:t>
      </w:r>
      <w:r w:rsidR="001317C1" w:rsidRPr="002208A3">
        <w:rPr>
          <w:rFonts w:ascii="Times New Roman" w:hAnsi="Times New Roman"/>
        </w:rPr>
        <w:t>e hypothesized that investment rates would be higher in the precommitment condition</w:t>
      </w:r>
      <w:r w:rsidR="00D23BA8">
        <w:rPr>
          <w:rFonts w:ascii="Times New Roman" w:hAnsi="Times New Roman"/>
        </w:rPr>
        <w:t>, even without a counterpart</w:t>
      </w:r>
      <w:r w:rsidR="001317C1" w:rsidRPr="002208A3">
        <w:rPr>
          <w:rFonts w:ascii="Times New Roman" w:hAnsi="Times New Roman"/>
        </w:rPr>
        <w:t xml:space="preserve">. </w:t>
      </w:r>
    </w:p>
    <w:p w14:paraId="0372E69C" w14:textId="4905B708" w:rsidR="00B53B01" w:rsidRPr="002208A3" w:rsidRDefault="00B53B01" w:rsidP="00AF2B85">
      <w:pPr>
        <w:spacing w:line="480" w:lineRule="auto"/>
        <w:rPr>
          <w:rFonts w:ascii="Times New Roman" w:hAnsi="Times New Roman"/>
          <w:i/>
        </w:rPr>
      </w:pPr>
      <w:r w:rsidRPr="002208A3">
        <w:rPr>
          <w:rFonts w:ascii="Times New Roman" w:hAnsi="Times New Roman"/>
          <w:i/>
        </w:rPr>
        <w:t xml:space="preserve">Study </w:t>
      </w:r>
      <w:r w:rsidR="001C4FCC">
        <w:rPr>
          <w:rFonts w:ascii="Times New Roman" w:hAnsi="Times New Roman"/>
          <w:i/>
        </w:rPr>
        <w:t>2</w:t>
      </w:r>
      <w:r w:rsidRPr="002208A3">
        <w:rPr>
          <w:rFonts w:ascii="Times New Roman" w:hAnsi="Times New Roman"/>
          <w:i/>
        </w:rPr>
        <w:t>: Participants and Design Overview</w:t>
      </w:r>
    </w:p>
    <w:p w14:paraId="6A05A4D8" w14:textId="5A6A7883" w:rsidR="00801FA0" w:rsidRDefault="00510CF8" w:rsidP="00AF2B85">
      <w:pPr>
        <w:spacing w:line="480" w:lineRule="auto"/>
        <w:rPr>
          <w:rFonts w:ascii="Times New Roman" w:hAnsi="Times New Roman"/>
        </w:rPr>
      </w:pPr>
      <w:r w:rsidRPr="002208A3">
        <w:rPr>
          <w:rFonts w:ascii="Times New Roman" w:hAnsi="Times New Roman"/>
        </w:rPr>
        <w:tab/>
      </w:r>
      <w:r w:rsidR="00122FC0" w:rsidRPr="002208A3">
        <w:rPr>
          <w:rFonts w:ascii="Times New Roman" w:hAnsi="Times New Roman"/>
        </w:rPr>
        <w:t xml:space="preserve">60 participants were recruited from the same pool as </w:t>
      </w:r>
      <w:r w:rsidR="00C022C2">
        <w:rPr>
          <w:rFonts w:ascii="Times New Roman" w:hAnsi="Times New Roman"/>
        </w:rPr>
        <w:t>Study 1</w:t>
      </w:r>
      <w:r w:rsidR="00122FC0" w:rsidRPr="002208A3">
        <w:rPr>
          <w:rFonts w:ascii="Times New Roman" w:hAnsi="Times New Roman"/>
        </w:rPr>
        <w:t xml:space="preserve"> and had similar demographics. </w:t>
      </w:r>
      <w:r w:rsidR="004A795A" w:rsidRPr="002208A3">
        <w:rPr>
          <w:rFonts w:ascii="Times New Roman" w:hAnsi="Times New Roman"/>
        </w:rPr>
        <w:t>Participants played a solo stochastic game</w:t>
      </w:r>
      <w:r w:rsidR="00966F19" w:rsidRPr="002208A3">
        <w:rPr>
          <w:rFonts w:ascii="Times New Roman" w:hAnsi="Times New Roman"/>
        </w:rPr>
        <w:t xml:space="preserve"> in which they had the option each round to invest in protection against the large loss</w:t>
      </w:r>
      <w:r w:rsidR="00647047">
        <w:rPr>
          <w:rFonts w:ascii="Times New Roman" w:hAnsi="Times New Roman"/>
        </w:rPr>
        <w:t xml:space="preserve"> (see the payoff structure in Table </w:t>
      </w:r>
      <w:r w:rsidR="00647047">
        <w:rPr>
          <w:rFonts w:ascii="Times New Roman" w:hAnsi="Times New Roman"/>
        </w:rPr>
        <w:lastRenderedPageBreak/>
        <w:t>4)</w:t>
      </w:r>
      <w:r w:rsidR="00966F19" w:rsidRPr="002208A3">
        <w:rPr>
          <w:rFonts w:ascii="Times New Roman" w:hAnsi="Times New Roman"/>
        </w:rPr>
        <w:t>.</w:t>
      </w:r>
      <w:r w:rsidR="00801FA0" w:rsidRPr="002208A3">
        <w:rPr>
          <w:rFonts w:ascii="Times New Roman" w:hAnsi="Times New Roman"/>
        </w:rPr>
        <w:t xml:space="preserve"> Because there </w:t>
      </w:r>
      <w:proofErr w:type="gramStart"/>
      <w:r w:rsidR="00801FA0" w:rsidRPr="002208A3">
        <w:rPr>
          <w:rFonts w:ascii="Times New Roman" w:hAnsi="Times New Roman"/>
        </w:rPr>
        <w:t>was</w:t>
      </w:r>
      <w:proofErr w:type="gramEnd"/>
      <w:r w:rsidR="00801FA0" w:rsidRPr="002208A3">
        <w:rPr>
          <w:rFonts w:ascii="Times New Roman" w:hAnsi="Times New Roman"/>
        </w:rPr>
        <w:t xml:space="preserve"> no counterpart and no dilemma, investment had a higher expected value and should have always been chosen by rational, risk-neutral individuals. </w:t>
      </w:r>
    </w:p>
    <w:p w14:paraId="3B8C7FFA" w14:textId="7A61ED29" w:rsidR="003E0DBF" w:rsidRPr="002208A3" w:rsidRDefault="003E0DBF" w:rsidP="003E0DBF">
      <w:pPr>
        <w:rPr>
          <w:rFonts w:ascii="Times New Roman" w:hAnsi="Times New Roman"/>
          <w:sz w:val="20"/>
          <w:szCs w:val="20"/>
        </w:rPr>
      </w:pPr>
      <w:r>
        <w:rPr>
          <w:rFonts w:ascii="Times New Roman" w:hAnsi="Times New Roman"/>
          <w:i/>
        </w:rPr>
        <w:t>Table 4</w:t>
      </w:r>
      <w:r w:rsidRPr="002208A3">
        <w:rPr>
          <w:rFonts w:ascii="Times New Roman" w:hAnsi="Times New Roman"/>
          <w:i/>
        </w:rPr>
        <w:t xml:space="preserve">: Solo payoff matrix used in Study </w:t>
      </w:r>
      <w:r>
        <w:rPr>
          <w:rFonts w:ascii="Times New Roman" w:hAnsi="Times New Roman"/>
          <w:i/>
        </w:rPr>
        <w:t>2</w:t>
      </w:r>
      <w:r w:rsidRPr="002208A3">
        <w:rPr>
          <w:rFonts w:ascii="Times New Roman" w:hAnsi="Times New Roman"/>
          <w:i/>
        </w:rPr>
        <w:t xml:space="preserve"> for the solo conditions (Solo-rep and Solo-pre).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225" w:type="dxa"/>
          <w:left w:w="225" w:type="dxa"/>
          <w:bottom w:w="225" w:type="dxa"/>
          <w:right w:w="225" w:type="dxa"/>
        </w:tblCellMar>
        <w:tblLook w:val="0000" w:firstRow="0" w:lastRow="0" w:firstColumn="0" w:lastColumn="0" w:noHBand="0" w:noVBand="0"/>
      </w:tblPr>
      <w:tblGrid>
        <w:gridCol w:w="870"/>
        <w:gridCol w:w="1610"/>
        <w:gridCol w:w="6144"/>
      </w:tblGrid>
      <w:tr w:rsidR="003E0DBF" w:rsidRPr="002208A3" w14:paraId="14B7C5E3" w14:textId="77777777" w:rsidTr="00FA1B8E">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18166DBE" w14:textId="77777777" w:rsidR="003E0DBF" w:rsidRPr="002208A3" w:rsidRDefault="003E0DBF" w:rsidP="00FA1B8E">
            <w:pPr>
              <w:spacing w:line="480" w:lineRule="auto"/>
              <w:jc w:val="center"/>
              <w:rPr>
                <w:rFonts w:ascii="Times New Roman" w:hAnsi="Times New Roman"/>
                <w:sz w:val="20"/>
                <w:szCs w:val="20"/>
              </w:rPr>
            </w:pPr>
            <w:r w:rsidRPr="002208A3">
              <w:rPr>
                <w:rFonts w:ascii="Times New Roman" w:hAnsi="Times New Roman"/>
                <w:sz w:val="20"/>
                <w:szCs w:val="20"/>
              </w:rPr>
              <w:t>You</w:t>
            </w:r>
          </w:p>
        </w:tc>
        <w:tc>
          <w:tcPr>
            <w:tcW w:w="0" w:type="auto"/>
            <w:tcBorders>
              <w:top w:val="outset" w:sz="6" w:space="0" w:color="auto"/>
              <w:left w:val="outset" w:sz="6" w:space="0" w:color="auto"/>
              <w:bottom w:val="outset" w:sz="6" w:space="0" w:color="auto"/>
              <w:right w:val="outset" w:sz="6" w:space="0" w:color="auto"/>
            </w:tcBorders>
            <w:vAlign w:val="center"/>
          </w:tcPr>
          <w:p w14:paraId="2F7CD649" w14:textId="77777777" w:rsidR="003E0DBF" w:rsidRPr="002208A3" w:rsidRDefault="003E0DBF" w:rsidP="00FA1B8E">
            <w:pPr>
              <w:spacing w:line="480" w:lineRule="auto"/>
              <w:rPr>
                <w:rFonts w:ascii="Times New Roman" w:hAnsi="Times New Roman"/>
                <w:sz w:val="20"/>
                <w:szCs w:val="20"/>
              </w:rPr>
            </w:pPr>
            <w:r w:rsidRPr="002208A3">
              <w:rPr>
                <w:rFonts w:ascii="Times New Roman" w:hAnsi="Times New Roman"/>
                <w:sz w:val="20"/>
                <w:szCs w:val="20"/>
              </w:rPr>
              <w:t>INVEST</w:t>
            </w:r>
          </w:p>
        </w:tc>
        <w:tc>
          <w:tcPr>
            <w:tcW w:w="0" w:type="auto"/>
            <w:tcBorders>
              <w:top w:val="outset" w:sz="6" w:space="0" w:color="auto"/>
              <w:left w:val="outset" w:sz="6" w:space="0" w:color="auto"/>
              <w:bottom w:val="outset" w:sz="6" w:space="0" w:color="auto"/>
              <w:right w:val="outset" w:sz="6" w:space="0" w:color="auto"/>
            </w:tcBorders>
            <w:vAlign w:val="center"/>
          </w:tcPr>
          <w:p w14:paraId="63357433" w14:textId="77777777" w:rsidR="003E0DBF" w:rsidRPr="002208A3" w:rsidRDefault="003E0DBF" w:rsidP="00FA1B8E">
            <w:pPr>
              <w:spacing w:line="480" w:lineRule="auto"/>
              <w:rPr>
                <w:rFonts w:ascii="Times New Roman" w:hAnsi="Times New Roman"/>
                <w:sz w:val="20"/>
                <w:szCs w:val="20"/>
              </w:rPr>
            </w:pPr>
            <w:r w:rsidRPr="002208A3">
              <w:rPr>
                <w:rFonts w:ascii="Times New Roman" w:hAnsi="Times New Roman"/>
                <w:sz w:val="20"/>
                <w:szCs w:val="20"/>
              </w:rPr>
              <w:t xml:space="preserve">- You definitely lose </w:t>
            </w:r>
            <w:r w:rsidRPr="002208A3">
              <w:rPr>
                <w:rFonts w:ascii="Times New Roman" w:hAnsi="Times New Roman"/>
                <w:b/>
                <w:bCs/>
                <w:sz w:val="20"/>
                <w:szCs w:val="20"/>
              </w:rPr>
              <w:t>1,400 Rp</w:t>
            </w:r>
            <w:r w:rsidRPr="002208A3">
              <w:rPr>
                <w:rFonts w:ascii="Times New Roman" w:hAnsi="Times New Roman"/>
                <w:sz w:val="20"/>
                <w:szCs w:val="20"/>
              </w:rPr>
              <w:t>, and have a 0% chance of the large loss occurring.</w:t>
            </w:r>
          </w:p>
        </w:tc>
      </w:tr>
      <w:tr w:rsidR="003E0DBF" w:rsidRPr="002208A3" w14:paraId="7D227457" w14:textId="77777777" w:rsidTr="00FA1B8E">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692F4485" w14:textId="77777777" w:rsidR="003E0DBF" w:rsidRPr="002208A3" w:rsidRDefault="003E0DBF" w:rsidP="00FA1B8E">
            <w:pPr>
              <w:spacing w:line="480" w:lineRule="auto"/>
              <w:rPr>
                <w:rFonts w:ascii="Times New Roman" w:hAnsi="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55647EDA" w14:textId="77777777" w:rsidR="003E0DBF" w:rsidRPr="002208A3" w:rsidRDefault="003E0DBF" w:rsidP="00FA1B8E">
            <w:pPr>
              <w:spacing w:line="480" w:lineRule="auto"/>
              <w:rPr>
                <w:rFonts w:ascii="Times New Roman" w:hAnsi="Times New Roman"/>
                <w:sz w:val="20"/>
                <w:szCs w:val="20"/>
              </w:rPr>
            </w:pPr>
            <w:r w:rsidRPr="002208A3">
              <w:rPr>
                <w:rFonts w:ascii="Times New Roman" w:hAnsi="Times New Roman"/>
                <w:sz w:val="20"/>
                <w:szCs w:val="20"/>
              </w:rPr>
              <w:t>NOT INVEST</w:t>
            </w:r>
          </w:p>
        </w:tc>
        <w:tc>
          <w:tcPr>
            <w:tcW w:w="0" w:type="auto"/>
            <w:tcBorders>
              <w:top w:val="outset" w:sz="6" w:space="0" w:color="auto"/>
              <w:left w:val="outset" w:sz="6" w:space="0" w:color="auto"/>
              <w:bottom w:val="outset" w:sz="6" w:space="0" w:color="auto"/>
              <w:right w:val="outset" w:sz="6" w:space="0" w:color="auto"/>
            </w:tcBorders>
            <w:vAlign w:val="center"/>
          </w:tcPr>
          <w:p w14:paraId="0B63578D" w14:textId="77777777" w:rsidR="003E0DBF" w:rsidRPr="002208A3" w:rsidRDefault="003E0DBF" w:rsidP="00FA1B8E">
            <w:pPr>
              <w:spacing w:line="480" w:lineRule="auto"/>
              <w:rPr>
                <w:rFonts w:ascii="Times New Roman" w:hAnsi="Times New Roman"/>
                <w:sz w:val="20"/>
                <w:szCs w:val="20"/>
              </w:rPr>
            </w:pPr>
            <w:r w:rsidRPr="002208A3">
              <w:rPr>
                <w:rFonts w:ascii="Times New Roman" w:hAnsi="Times New Roman"/>
                <w:sz w:val="20"/>
                <w:szCs w:val="20"/>
              </w:rPr>
              <w:t xml:space="preserve">- You have a 4% chance of losing </w:t>
            </w:r>
            <w:r w:rsidRPr="002208A3">
              <w:rPr>
                <w:rFonts w:ascii="Times New Roman" w:hAnsi="Times New Roman"/>
                <w:b/>
                <w:bCs/>
                <w:sz w:val="20"/>
                <w:szCs w:val="20"/>
              </w:rPr>
              <w:t>40,000 Rp</w:t>
            </w:r>
            <w:r w:rsidRPr="002208A3">
              <w:rPr>
                <w:rFonts w:ascii="Times New Roman" w:hAnsi="Times New Roman"/>
                <w:sz w:val="20"/>
                <w:szCs w:val="20"/>
              </w:rPr>
              <w:t xml:space="preserve"> and a 96% chance of losing </w:t>
            </w:r>
            <w:r w:rsidRPr="002208A3">
              <w:rPr>
                <w:rFonts w:ascii="Times New Roman" w:hAnsi="Times New Roman"/>
                <w:b/>
                <w:bCs/>
                <w:sz w:val="20"/>
                <w:szCs w:val="20"/>
              </w:rPr>
              <w:t>0 Rp</w:t>
            </w:r>
            <w:r w:rsidRPr="002208A3">
              <w:rPr>
                <w:rFonts w:ascii="Times New Roman" w:hAnsi="Times New Roman"/>
                <w:sz w:val="20"/>
                <w:szCs w:val="20"/>
              </w:rPr>
              <w:t>.</w:t>
            </w:r>
          </w:p>
        </w:tc>
      </w:tr>
    </w:tbl>
    <w:p w14:paraId="0ED759F8" w14:textId="77777777" w:rsidR="003E0DBF" w:rsidRPr="002208A3" w:rsidRDefault="003E0DBF" w:rsidP="00AF2B85">
      <w:pPr>
        <w:spacing w:line="480" w:lineRule="auto"/>
        <w:rPr>
          <w:rFonts w:ascii="Times New Roman" w:hAnsi="Times New Roman"/>
        </w:rPr>
      </w:pPr>
    </w:p>
    <w:p w14:paraId="7591D8D1" w14:textId="419E165A" w:rsidR="00B53B01" w:rsidRPr="002208A3" w:rsidRDefault="00801FA0" w:rsidP="00AF2B85">
      <w:pPr>
        <w:spacing w:line="480" w:lineRule="auto"/>
        <w:rPr>
          <w:rFonts w:ascii="Times New Roman" w:hAnsi="Times New Roman"/>
        </w:rPr>
      </w:pPr>
      <w:r w:rsidRPr="002208A3">
        <w:rPr>
          <w:rFonts w:ascii="Times New Roman" w:hAnsi="Times New Roman"/>
        </w:rPr>
        <w:tab/>
      </w:r>
      <w:r w:rsidR="00966F19" w:rsidRPr="002208A3">
        <w:rPr>
          <w:rFonts w:ascii="Times New Roman" w:hAnsi="Times New Roman"/>
        </w:rPr>
        <w:t xml:space="preserve">Participants were randomly assigned to either a </w:t>
      </w:r>
      <w:r w:rsidR="004A795A" w:rsidRPr="002208A3">
        <w:rPr>
          <w:rFonts w:ascii="Times New Roman" w:hAnsi="Times New Roman"/>
        </w:rPr>
        <w:t xml:space="preserve">repeated </w:t>
      </w:r>
      <w:r w:rsidR="00966F19" w:rsidRPr="002208A3">
        <w:rPr>
          <w:rFonts w:ascii="Times New Roman" w:hAnsi="Times New Roman"/>
        </w:rPr>
        <w:t xml:space="preserve">choice </w:t>
      </w:r>
      <w:r w:rsidR="004A795A" w:rsidRPr="002208A3">
        <w:rPr>
          <w:rFonts w:ascii="Times New Roman" w:hAnsi="Times New Roman"/>
        </w:rPr>
        <w:t xml:space="preserve">(Solo-rep) or precommitted </w:t>
      </w:r>
      <w:r w:rsidR="00966F19" w:rsidRPr="002208A3">
        <w:rPr>
          <w:rFonts w:ascii="Times New Roman" w:hAnsi="Times New Roman"/>
        </w:rPr>
        <w:t xml:space="preserve">choice </w:t>
      </w:r>
      <w:r w:rsidR="004A795A" w:rsidRPr="002208A3">
        <w:rPr>
          <w:rFonts w:ascii="Times New Roman" w:hAnsi="Times New Roman"/>
        </w:rPr>
        <w:t>(Solo-</w:t>
      </w:r>
      <w:r w:rsidR="00CB7333" w:rsidRPr="002208A3">
        <w:rPr>
          <w:rFonts w:ascii="Times New Roman" w:hAnsi="Times New Roman"/>
        </w:rPr>
        <w:t>p</w:t>
      </w:r>
      <w:r w:rsidR="004A795A" w:rsidRPr="002208A3">
        <w:rPr>
          <w:rFonts w:ascii="Times New Roman" w:hAnsi="Times New Roman"/>
        </w:rPr>
        <w:t>re)</w:t>
      </w:r>
      <w:r w:rsidR="00966F19" w:rsidRPr="002208A3">
        <w:rPr>
          <w:rFonts w:ascii="Times New Roman" w:hAnsi="Times New Roman"/>
        </w:rPr>
        <w:t xml:space="preserve"> condition</w:t>
      </w:r>
      <w:r w:rsidR="00A42E99" w:rsidRPr="002208A3">
        <w:rPr>
          <w:rFonts w:ascii="Times New Roman" w:hAnsi="Times New Roman"/>
        </w:rPr>
        <w:t>.</w:t>
      </w:r>
      <w:r w:rsidR="003B3B8F">
        <w:rPr>
          <w:rFonts w:ascii="Times New Roman" w:hAnsi="Times New Roman"/>
        </w:rPr>
        <w:t xml:space="preserve"> (</w:t>
      </w:r>
      <w:r w:rsidR="003B3B8F" w:rsidRPr="00E266AB">
        <w:rPr>
          <w:rFonts w:ascii="Times New Roman" w:hAnsi="Times New Roman"/>
        </w:rPr>
        <w:t xml:space="preserve">We did not run a solo version of the DPD game for the obvious reason that this would have entailed asking participants to simply choose between </w:t>
      </w:r>
      <w:r w:rsidR="00541F40">
        <w:rPr>
          <w:rFonts w:ascii="Times New Roman" w:hAnsi="Times New Roman"/>
        </w:rPr>
        <w:t xml:space="preserve">losing </w:t>
      </w:r>
      <w:r w:rsidR="003B3B8F" w:rsidRPr="00E266AB">
        <w:rPr>
          <w:rFonts w:ascii="Times New Roman" w:hAnsi="Times New Roman"/>
        </w:rPr>
        <w:t>more or less money</w:t>
      </w:r>
      <w:r w:rsidR="003B3B8F">
        <w:rPr>
          <w:rFonts w:ascii="Times New Roman" w:hAnsi="Times New Roman"/>
        </w:rPr>
        <w:t>. I</w:t>
      </w:r>
      <w:r w:rsidR="003B3B8F" w:rsidRPr="00E266AB">
        <w:rPr>
          <w:rFonts w:ascii="Times New Roman" w:hAnsi="Times New Roman"/>
        </w:rPr>
        <w:t>t</w:t>
      </w:r>
      <w:r w:rsidR="003B3B8F">
        <w:rPr>
          <w:rFonts w:ascii="Times New Roman" w:hAnsi="Times New Roman"/>
        </w:rPr>
        <w:t xml:space="preserve"> i</w:t>
      </w:r>
      <w:r w:rsidR="003B3B8F" w:rsidRPr="00E266AB">
        <w:rPr>
          <w:rFonts w:ascii="Times New Roman" w:hAnsi="Times New Roman"/>
        </w:rPr>
        <w:t xml:space="preserve">s safe to assume that participants would overwhelmingly prefer </w:t>
      </w:r>
      <w:r w:rsidR="00541F40">
        <w:rPr>
          <w:rFonts w:ascii="Times New Roman" w:hAnsi="Times New Roman"/>
        </w:rPr>
        <w:t>losing less money</w:t>
      </w:r>
      <w:r w:rsidR="003E0DBF">
        <w:rPr>
          <w:rFonts w:ascii="Times New Roman" w:hAnsi="Times New Roman"/>
        </w:rPr>
        <w:t xml:space="preserve">, </w:t>
      </w:r>
      <w:r w:rsidR="00647047">
        <w:rPr>
          <w:rFonts w:ascii="Times New Roman" w:hAnsi="Times New Roman"/>
        </w:rPr>
        <w:t>which would lead</w:t>
      </w:r>
      <w:r w:rsidR="003E0DBF">
        <w:rPr>
          <w:rFonts w:ascii="Times New Roman" w:hAnsi="Times New Roman"/>
        </w:rPr>
        <w:t xml:space="preserve"> to investment rates </w:t>
      </w:r>
      <w:r w:rsidR="00647047">
        <w:rPr>
          <w:rFonts w:ascii="Times New Roman" w:hAnsi="Times New Roman"/>
        </w:rPr>
        <w:t xml:space="preserve">in a DPD solo game </w:t>
      </w:r>
      <w:r w:rsidR="003E0DBF">
        <w:rPr>
          <w:rFonts w:ascii="Times New Roman" w:hAnsi="Times New Roman"/>
        </w:rPr>
        <w:t>close to 100%</w:t>
      </w:r>
      <w:r w:rsidR="00647047">
        <w:rPr>
          <w:rFonts w:ascii="Times New Roman" w:hAnsi="Times New Roman"/>
        </w:rPr>
        <w:t>,</w:t>
      </w:r>
      <w:r w:rsidR="003E0DBF">
        <w:rPr>
          <w:rFonts w:ascii="Times New Roman" w:hAnsi="Times New Roman"/>
        </w:rPr>
        <w:t xml:space="preserve"> regardless of whether </w:t>
      </w:r>
      <w:r w:rsidR="00647047">
        <w:rPr>
          <w:rFonts w:ascii="Times New Roman" w:hAnsi="Times New Roman"/>
        </w:rPr>
        <w:t>participants</w:t>
      </w:r>
      <w:r w:rsidR="003E0DBF">
        <w:rPr>
          <w:rFonts w:ascii="Times New Roman" w:hAnsi="Times New Roman"/>
        </w:rPr>
        <w:t xml:space="preserve"> precommitted or not</w:t>
      </w:r>
      <w:r w:rsidR="003B3B8F" w:rsidRPr="00E266AB">
        <w:rPr>
          <w:rFonts w:ascii="Times New Roman" w:hAnsi="Times New Roman"/>
        </w:rPr>
        <w:t>.</w:t>
      </w:r>
      <w:r w:rsidR="003B3B8F">
        <w:rPr>
          <w:rFonts w:ascii="Times New Roman" w:hAnsi="Times New Roman"/>
        </w:rPr>
        <w:t>)</w:t>
      </w:r>
    </w:p>
    <w:p w14:paraId="7737CEC5" w14:textId="77777777" w:rsidR="00122FC0" w:rsidRPr="002208A3" w:rsidRDefault="00122FC0" w:rsidP="00AF2B85">
      <w:pPr>
        <w:spacing w:line="480" w:lineRule="auto"/>
        <w:rPr>
          <w:rFonts w:ascii="Times New Roman" w:hAnsi="Times New Roman"/>
        </w:rPr>
      </w:pPr>
    </w:p>
    <w:p w14:paraId="33045DB8" w14:textId="1DF3A16B" w:rsidR="00B53B01" w:rsidRPr="002208A3" w:rsidRDefault="00B53B01" w:rsidP="00AF2B85">
      <w:pPr>
        <w:spacing w:line="480" w:lineRule="auto"/>
        <w:rPr>
          <w:rFonts w:ascii="Times New Roman" w:hAnsi="Times New Roman"/>
          <w:i/>
        </w:rPr>
      </w:pPr>
      <w:r w:rsidRPr="002208A3">
        <w:rPr>
          <w:rFonts w:ascii="Times New Roman" w:hAnsi="Times New Roman"/>
          <w:i/>
        </w:rPr>
        <w:t xml:space="preserve">Study </w:t>
      </w:r>
      <w:r w:rsidR="001C4FCC">
        <w:rPr>
          <w:rFonts w:ascii="Times New Roman" w:hAnsi="Times New Roman"/>
          <w:i/>
        </w:rPr>
        <w:t>2</w:t>
      </w:r>
      <w:r w:rsidRPr="002208A3">
        <w:rPr>
          <w:rFonts w:ascii="Times New Roman" w:hAnsi="Times New Roman"/>
          <w:i/>
        </w:rPr>
        <w:t>: Methods</w:t>
      </w:r>
    </w:p>
    <w:p w14:paraId="498C22F3" w14:textId="77777777" w:rsidR="005B3A8A" w:rsidRPr="002208A3" w:rsidRDefault="005B3A8A" w:rsidP="00AF2B85">
      <w:pPr>
        <w:spacing w:line="480" w:lineRule="auto"/>
        <w:rPr>
          <w:rFonts w:ascii="Times New Roman" w:hAnsi="Times New Roman"/>
        </w:rPr>
      </w:pPr>
      <w:r w:rsidRPr="002208A3">
        <w:rPr>
          <w:rFonts w:ascii="Times New Roman" w:hAnsi="Times New Roman"/>
        </w:rPr>
        <w:tab/>
      </w:r>
      <w:r w:rsidR="00966F19" w:rsidRPr="002208A3">
        <w:rPr>
          <w:rFonts w:ascii="Times New Roman" w:hAnsi="Times New Roman"/>
        </w:rPr>
        <w:t xml:space="preserve">The procedure was </w:t>
      </w:r>
      <w:r w:rsidR="00B140DB" w:rsidRPr="002208A3">
        <w:rPr>
          <w:rFonts w:ascii="Times New Roman" w:hAnsi="Times New Roman"/>
        </w:rPr>
        <w:t>the same as</w:t>
      </w:r>
      <w:r w:rsidR="00966F19" w:rsidRPr="002208A3">
        <w:rPr>
          <w:rFonts w:ascii="Times New Roman" w:hAnsi="Times New Roman"/>
        </w:rPr>
        <w:t xml:space="preserve"> previous studies except that participants did not interact with a counterpart. </w:t>
      </w:r>
      <w:r w:rsidR="00B140DB" w:rsidRPr="002208A3">
        <w:rPr>
          <w:rFonts w:ascii="Times New Roman" w:hAnsi="Times New Roman"/>
        </w:rPr>
        <w:t xml:space="preserve">Thus, the instructions, payoff matrix, quiz, choices, and feedback were rewritten so as to only require one player. </w:t>
      </w:r>
      <w:r w:rsidR="00181F11" w:rsidRPr="002208A3">
        <w:rPr>
          <w:rFonts w:ascii="Times New Roman" w:hAnsi="Times New Roman"/>
        </w:rPr>
        <w:t xml:space="preserve">As before, </w:t>
      </w:r>
      <w:r w:rsidRPr="002208A3">
        <w:rPr>
          <w:rFonts w:ascii="Times New Roman" w:hAnsi="Times New Roman"/>
        </w:rPr>
        <w:t xml:space="preserve">all </w:t>
      </w:r>
      <w:r w:rsidR="00181F11" w:rsidRPr="002208A3">
        <w:rPr>
          <w:rFonts w:ascii="Times New Roman" w:hAnsi="Times New Roman"/>
        </w:rPr>
        <w:t xml:space="preserve">participants </w:t>
      </w:r>
      <w:r w:rsidRPr="002208A3">
        <w:rPr>
          <w:rFonts w:ascii="Times New Roman" w:hAnsi="Times New Roman"/>
        </w:rPr>
        <w:t>k</w:t>
      </w:r>
      <w:r w:rsidR="00181F11" w:rsidRPr="002208A3">
        <w:rPr>
          <w:rFonts w:ascii="Times New Roman" w:hAnsi="Times New Roman"/>
        </w:rPr>
        <w:t xml:space="preserve">new </w:t>
      </w:r>
      <w:r w:rsidRPr="002208A3">
        <w:rPr>
          <w:rFonts w:ascii="Times New Roman" w:hAnsi="Times New Roman"/>
        </w:rPr>
        <w:t xml:space="preserve">in advance that </w:t>
      </w:r>
      <w:r w:rsidR="00181F11" w:rsidRPr="002208A3">
        <w:rPr>
          <w:rFonts w:ascii="Times New Roman" w:hAnsi="Times New Roman"/>
        </w:rPr>
        <w:t xml:space="preserve">they would play 4 blocks of 20 rounds. </w:t>
      </w:r>
    </w:p>
    <w:p w14:paraId="2821B6C4" w14:textId="68CC4F96" w:rsidR="000301C0" w:rsidRDefault="005B3A8A" w:rsidP="00511D2D">
      <w:pPr>
        <w:spacing w:line="480" w:lineRule="auto"/>
        <w:rPr>
          <w:rFonts w:ascii="Times New Roman" w:hAnsi="Times New Roman"/>
          <w:i/>
        </w:rPr>
      </w:pPr>
      <w:r w:rsidRPr="002208A3">
        <w:rPr>
          <w:rFonts w:ascii="Times New Roman" w:hAnsi="Times New Roman"/>
        </w:rPr>
        <w:lastRenderedPageBreak/>
        <w:tab/>
      </w:r>
      <w:r w:rsidR="00B140DB" w:rsidRPr="002208A3">
        <w:rPr>
          <w:rFonts w:ascii="Times New Roman" w:hAnsi="Times New Roman"/>
        </w:rPr>
        <w:t>The revised payoff matrix (</w:t>
      </w:r>
      <w:r w:rsidR="00B140DB" w:rsidRPr="00C15F70">
        <w:rPr>
          <w:rFonts w:ascii="Times New Roman" w:hAnsi="Times New Roman"/>
        </w:rPr>
        <w:t xml:space="preserve">see </w:t>
      </w:r>
      <w:r w:rsidR="00421CE4" w:rsidRPr="00C15F70">
        <w:rPr>
          <w:rFonts w:ascii="Times New Roman" w:hAnsi="Times New Roman"/>
        </w:rPr>
        <w:t xml:space="preserve">Table </w:t>
      </w:r>
      <w:r w:rsidR="00C15F70">
        <w:rPr>
          <w:rFonts w:ascii="Times New Roman" w:hAnsi="Times New Roman"/>
        </w:rPr>
        <w:t>4</w:t>
      </w:r>
      <w:r w:rsidR="00B140DB" w:rsidRPr="002208A3">
        <w:rPr>
          <w:rFonts w:ascii="Times New Roman" w:hAnsi="Times New Roman"/>
        </w:rPr>
        <w:t xml:space="preserve">) essentially asked participants to choose between the upper-left (Invest/Invest) cell or the lower right (Not-Invest/Not-Invest) cells from the SPD games in the previous studies. </w:t>
      </w:r>
    </w:p>
    <w:p w14:paraId="606E5E74" w14:textId="124FC8EC" w:rsidR="00B140DB" w:rsidRPr="002208A3" w:rsidRDefault="00CB7333" w:rsidP="00511D2D">
      <w:pPr>
        <w:spacing w:line="480" w:lineRule="auto"/>
        <w:ind w:firstLine="720"/>
        <w:rPr>
          <w:rFonts w:ascii="Times New Roman" w:hAnsi="Times New Roman"/>
        </w:rPr>
      </w:pPr>
      <w:r w:rsidRPr="002208A3">
        <w:rPr>
          <w:rFonts w:ascii="Times New Roman" w:hAnsi="Times New Roman"/>
        </w:rPr>
        <w:t>As in previous studies, p</w:t>
      </w:r>
      <w:r w:rsidR="00A42E99" w:rsidRPr="002208A3">
        <w:rPr>
          <w:rFonts w:ascii="Times New Roman" w:hAnsi="Times New Roman"/>
        </w:rPr>
        <w:t xml:space="preserve">articipants in the </w:t>
      </w:r>
      <w:r w:rsidRPr="002208A3">
        <w:rPr>
          <w:rFonts w:ascii="Times New Roman" w:hAnsi="Times New Roman"/>
        </w:rPr>
        <w:t>repeated (</w:t>
      </w:r>
      <w:r w:rsidR="006E664A" w:rsidRPr="002208A3">
        <w:rPr>
          <w:rFonts w:ascii="Times New Roman" w:hAnsi="Times New Roman"/>
        </w:rPr>
        <w:t>Solo-</w:t>
      </w:r>
      <w:r w:rsidRPr="002208A3">
        <w:rPr>
          <w:rFonts w:ascii="Times New Roman" w:hAnsi="Times New Roman"/>
        </w:rPr>
        <w:t xml:space="preserve">rep) condition made choices and got feedback one round at a time, while those in the precommitted </w:t>
      </w:r>
      <w:r w:rsidR="00ED0F83" w:rsidRPr="002208A3">
        <w:rPr>
          <w:rFonts w:ascii="Times New Roman" w:hAnsi="Times New Roman"/>
        </w:rPr>
        <w:t>(Solo-</w:t>
      </w:r>
      <w:r w:rsidR="00ED0F83">
        <w:rPr>
          <w:rFonts w:ascii="Times New Roman" w:hAnsi="Times New Roman"/>
        </w:rPr>
        <w:t>pre</w:t>
      </w:r>
      <w:r w:rsidR="00ED0F83" w:rsidRPr="002208A3">
        <w:rPr>
          <w:rFonts w:ascii="Times New Roman" w:hAnsi="Times New Roman"/>
        </w:rPr>
        <w:t>)</w:t>
      </w:r>
      <w:r w:rsidR="00ED0F83">
        <w:rPr>
          <w:rFonts w:ascii="Times New Roman" w:hAnsi="Times New Roman"/>
        </w:rPr>
        <w:t xml:space="preserve"> </w:t>
      </w:r>
      <w:r w:rsidRPr="002208A3">
        <w:rPr>
          <w:rFonts w:ascii="Times New Roman" w:hAnsi="Times New Roman"/>
        </w:rPr>
        <w:t>condition made twenty choices at a time and then received identical feedback</w:t>
      </w:r>
      <w:r w:rsidR="001A6591">
        <w:rPr>
          <w:rFonts w:ascii="Times New Roman" w:hAnsi="Times New Roman"/>
        </w:rPr>
        <w:t xml:space="preserve"> after each block of 20 rounds</w:t>
      </w:r>
      <w:r w:rsidRPr="002208A3">
        <w:rPr>
          <w:rFonts w:ascii="Times New Roman" w:hAnsi="Times New Roman"/>
        </w:rPr>
        <w:t xml:space="preserve">. </w:t>
      </w:r>
    </w:p>
    <w:p w14:paraId="052A6894" w14:textId="77777777" w:rsidR="004A795A" w:rsidRPr="002208A3" w:rsidRDefault="004A795A" w:rsidP="00AF2B85">
      <w:pPr>
        <w:spacing w:line="480" w:lineRule="auto"/>
        <w:rPr>
          <w:rFonts w:ascii="Times New Roman" w:hAnsi="Times New Roman"/>
        </w:rPr>
      </w:pPr>
    </w:p>
    <w:p w14:paraId="46FAA07A" w14:textId="7F14BB8D" w:rsidR="009B47AE" w:rsidRPr="002208A3" w:rsidRDefault="009B47AE" w:rsidP="00AF2B85">
      <w:pPr>
        <w:spacing w:line="480" w:lineRule="auto"/>
        <w:rPr>
          <w:rFonts w:ascii="Times New Roman" w:hAnsi="Times New Roman"/>
          <w:i/>
        </w:rPr>
      </w:pPr>
      <w:r w:rsidRPr="002208A3">
        <w:rPr>
          <w:rFonts w:ascii="Times New Roman" w:hAnsi="Times New Roman"/>
          <w:i/>
        </w:rPr>
        <w:t xml:space="preserve">Study </w:t>
      </w:r>
      <w:r w:rsidR="001C4FCC">
        <w:rPr>
          <w:rFonts w:ascii="Times New Roman" w:hAnsi="Times New Roman"/>
          <w:i/>
        </w:rPr>
        <w:t>2</w:t>
      </w:r>
      <w:r w:rsidRPr="002208A3">
        <w:rPr>
          <w:rFonts w:ascii="Times New Roman" w:hAnsi="Times New Roman"/>
          <w:i/>
        </w:rPr>
        <w:t>: Results</w:t>
      </w:r>
    </w:p>
    <w:p w14:paraId="13DA1306" w14:textId="45DCA041" w:rsidR="00E17871" w:rsidRDefault="000E5CC3" w:rsidP="00826013">
      <w:pPr>
        <w:spacing w:line="480" w:lineRule="auto"/>
        <w:rPr>
          <w:rFonts w:ascii="Times New Roman" w:hAnsi="Times New Roman"/>
        </w:rPr>
      </w:pPr>
      <w:r w:rsidRPr="002208A3">
        <w:rPr>
          <w:rFonts w:ascii="Times New Roman" w:hAnsi="Times New Roman"/>
        </w:rPr>
        <w:tab/>
      </w:r>
      <w:r w:rsidR="00B0497E">
        <w:rPr>
          <w:rFonts w:ascii="Times New Roman" w:hAnsi="Times New Roman"/>
        </w:rPr>
        <w:t>I</w:t>
      </w:r>
      <w:r w:rsidR="00B0497E" w:rsidRPr="002208A3">
        <w:rPr>
          <w:rFonts w:ascii="Times New Roman" w:hAnsi="Times New Roman"/>
        </w:rPr>
        <w:t>n th</w:t>
      </w:r>
      <w:r w:rsidR="00B0497E">
        <w:rPr>
          <w:rFonts w:ascii="Times New Roman" w:hAnsi="Times New Roman"/>
        </w:rPr>
        <w:t>is</w:t>
      </w:r>
      <w:r w:rsidR="00B0497E" w:rsidRPr="002208A3">
        <w:rPr>
          <w:rFonts w:ascii="Times New Roman" w:hAnsi="Times New Roman"/>
        </w:rPr>
        <w:t xml:space="preserve"> solo</w:t>
      </w:r>
      <w:r w:rsidR="003F7582">
        <w:rPr>
          <w:rFonts w:ascii="Times New Roman" w:hAnsi="Times New Roman"/>
        </w:rPr>
        <w:t>,</w:t>
      </w:r>
      <w:r w:rsidR="00B0497E" w:rsidRPr="002208A3">
        <w:rPr>
          <w:rFonts w:ascii="Times New Roman" w:hAnsi="Times New Roman"/>
        </w:rPr>
        <w:t xml:space="preserve"> stochastic </w:t>
      </w:r>
      <w:r w:rsidR="00B0497E">
        <w:rPr>
          <w:rFonts w:ascii="Times New Roman" w:hAnsi="Times New Roman"/>
        </w:rPr>
        <w:t xml:space="preserve">losses </w:t>
      </w:r>
      <w:r w:rsidR="00B0497E" w:rsidRPr="002208A3">
        <w:rPr>
          <w:rFonts w:ascii="Times New Roman" w:hAnsi="Times New Roman"/>
        </w:rPr>
        <w:t>game</w:t>
      </w:r>
      <w:r w:rsidR="00B0497E">
        <w:rPr>
          <w:rFonts w:ascii="Times New Roman" w:hAnsi="Times New Roman"/>
        </w:rPr>
        <w:t xml:space="preserve">, </w:t>
      </w:r>
      <w:r w:rsidRPr="002208A3">
        <w:rPr>
          <w:rFonts w:ascii="Times New Roman" w:hAnsi="Times New Roman"/>
        </w:rPr>
        <w:t>precommitment substantially increased investment by participants</w:t>
      </w:r>
      <w:r w:rsidR="007756E6" w:rsidRPr="002208A3">
        <w:rPr>
          <w:rFonts w:ascii="Times New Roman" w:hAnsi="Times New Roman"/>
        </w:rPr>
        <w:t xml:space="preserve">, from </w:t>
      </w:r>
      <w:r w:rsidR="00FC1CE8" w:rsidRPr="002208A3">
        <w:rPr>
          <w:rFonts w:ascii="Times New Roman" w:hAnsi="Times New Roman"/>
        </w:rPr>
        <w:t>32</w:t>
      </w:r>
      <w:r w:rsidR="007756E6" w:rsidRPr="002208A3">
        <w:rPr>
          <w:rFonts w:ascii="Times New Roman" w:hAnsi="Times New Roman"/>
        </w:rPr>
        <w:t xml:space="preserve">% to </w:t>
      </w:r>
      <w:r w:rsidR="00FC1CE8" w:rsidRPr="002208A3">
        <w:rPr>
          <w:rFonts w:ascii="Times New Roman" w:hAnsi="Times New Roman"/>
        </w:rPr>
        <w:t>61</w:t>
      </w:r>
      <w:r w:rsidR="007756E6" w:rsidRPr="002208A3">
        <w:rPr>
          <w:rFonts w:ascii="Times New Roman" w:hAnsi="Times New Roman"/>
        </w:rPr>
        <w:t>%</w:t>
      </w:r>
      <w:r w:rsidR="004962E3">
        <w:rPr>
          <w:rFonts w:ascii="Times New Roman" w:hAnsi="Times New Roman"/>
        </w:rPr>
        <w:t xml:space="preserve">, </w:t>
      </w:r>
      <w:r w:rsidR="00B0497E">
        <w:rPr>
          <w:rFonts w:ascii="Times New Roman" w:hAnsi="Times New Roman"/>
        </w:rPr>
        <w:t xml:space="preserve">as seen </w:t>
      </w:r>
      <w:r w:rsidR="00CA00B4">
        <w:rPr>
          <w:rFonts w:ascii="Times New Roman" w:hAnsi="Times New Roman"/>
        </w:rPr>
        <w:t xml:space="preserve">by comparing the Solo-Rep and Solo-Pre lines in </w:t>
      </w:r>
      <w:r w:rsidR="00B0497E">
        <w:rPr>
          <w:rFonts w:ascii="Times New Roman" w:hAnsi="Times New Roman"/>
        </w:rPr>
        <w:t>Figure 5</w:t>
      </w:r>
      <w:r w:rsidR="007756E6" w:rsidRPr="002208A3">
        <w:rPr>
          <w:rFonts w:ascii="Times New Roman" w:hAnsi="Times New Roman"/>
        </w:rPr>
        <w:t xml:space="preserve">. </w:t>
      </w:r>
      <w:r w:rsidR="00B234B6" w:rsidRPr="002208A3">
        <w:rPr>
          <w:rFonts w:ascii="Times New Roman" w:hAnsi="Times New Roman"/>
        </w:rPr>
        <w:t xml:space="preserve">Thus, twice as many participants invested </w:t>
      </w:r>
      <w:r w:rsidR="00AA2B88">
        <w:rPr>
          <w:rFonts w:ascii="Times New Roman" w:hAnsi="Times New Roman"/>
        </w:rPr>
        <w:t xml:space="preserve">in protection </w:t>
      </w:r>
      <w:r w:rsidR="00B234B6" w:rsidRPr="002208A3">
        <w:rPr>
          <w:rFonts w:ascii="Times New Roman" w:hAnsi="Times New Roman"/>
        </w:rPr>
        <w:t xml:space="preserve">when precommitting. </w:t>
      </w:r>
      <w:r w:rsidR="00E17871">
        <w:rPr>
          <w:rFonts w:ascii="Times New Roman" w:hAnsi="Times New Roman"/>
        </w:rPr>
        <w:t>This was confirmed with a logistic mixed model</w:t>
      </w:r>
      <w:r w:rsidR="00CA00B4">
        <w:rPr>
          <w:rFonts w:ascii="Times New Roman" w:hAnsi="Times New Roman"/>
        </w:rPr>
        <w:t>,</w:t>
      </w:r>
      <w:r w:rsidR="00E17871">
        <w:rPr>
          <w:rFonts w:ascii="Times New Roman" w:hAnsi="Times New Roman"/>
        </w:rPr>
        <w:t xml:space="preserve"> predicting investment choices with fixed effects of condition, block number, and the</w:t>
      </w:r>
      <w:r w:rsidR="00CA00B4">
        <w:rPr>
          <w:rFonts w:ascii="Times New Roman" w:hAnsi="Times New Roman"/>
        </w:rPr>
        <w:t>ir</w:t>
      </w:r>
      <w:r w:rsidR="00E17871">
        <w:rPr>
          <w:rFonts w:ascii="Times New Roman" w:hAnsi="Times New Roman"/>
        </w:rPr>
        <w:t xml:space="preserve"> interaction, </w:t>
      </w:r>
      <w:r w:rsidR="00CA00B4">
        <w:rPr>
          <w:rFonts w:ascii="Times New Roman" w:hAnsi="Times New Roman"/>
        </w:rPr>
        <w:t>plus</w:t>
      </w:r>
      <w:r w:rsidR="00E17871">
        <w:rPr>
          <w:rFonts w:ascii="Times New Roman" w:hAnsi="Times New Roman"/>
        </w:rPr>
        <w:t xml:space="preserve"> a random effect of participant ID. </w:t>
      </w:r>
      <w:r w:rsidR="00CA00B4">
        <w:rPr>
          <w:rFonts w:ascii="Times New Roman" w:hAnsi="Times New Roman"/>
        </w:rPr>
        <w:t>This revealed a</w:t>
      </w:r>
      <w:r w:rsidR="009B71F2">
        <w:rPr>
          <w:rFonts w:ascii="Times New Roman" w:hAnsi="Times New Roman"/>
        </w:rPr>
        <w:t xml:space="preserve"> significant</w:t>
      </w:r>
      <w:r w:rsidR="00CA00B4">
        <w:rPr>
          <w:rFonts w:ascii="Times New Roman" w:hAnsi="Times New Roman"/>
        </w:rPr>
        <w:t xml:space="preserve"> effect of condition, </w:t>
      </w:r>
      <w:r w:rsidR="00CA00B4" w:rsidRPr="00CA00B4">
        <w:rPr>
          <w:rFonts w:ascii="Times New Roman" w:hAnsi="Times New Roman"/>
        </w:rPr>
        <w:t>B=</w:t>
      </w:r>
      <w:r w:rsidR="004F153F">
        <w:rPr>
          <w:rFonts w:ascii="Times New Roman" w:hAnsi="Times New Roman"/>
        </w:rPr>
        <w:t>1.78</w:t>
      </w:r>
      <w:r w:rsidR="00CA00B4" w:rsidRPr="00CA00B4">
        <w:rPr>
          <w:rFonts w:ascii="Times New Roman" w:hAnsi="Times New Roman"/>
        </w:rPr>
        <w:t>, SE=</w:t>
      </w:r>
      <w:r w:rsidR="004F153F">
        <w:rPr>
          <w:rFonts w:ascii="Times New Roman" w:hAnsi="Times New Roman"/>
        </w:rPr>
        <w:t>0.54</w:t>
      </w:r>
      <w:r w:rsidR="00CA00B4" w:rsidRPr="00CA00B4">
        <w:rPr>
          <w:rFonts w:ascii="Times New Roman" w:hAnsi="Times New Roman"/>
        </w:rPr>
        <w:t>, p=</w:t>
      </w:r>
      <w:r w:rsidR="004F153F">
        <w:rPr>
          <w:rFonts w:ascii="Times New Roman" w:hAnsi="Times New Roman"/>
        </w:rPr>
        <w:t>.001</w:t>
      </w:r>
      <w:r w:rsidR="00CA00B4" w:rsidRPr="00CA00B4">
        <w:rPr>
          <w:rFonts w:ascii="Times New Roman" w:hAnsi="Times New Roman"/>
        </w:rPr>
        <w:t>, OR=</w:t>
      </w:r>
      <w:r w:rsidR="004F153F">
        <w:rPr>
          <w:rFonts w:ascii="Times New Roman" w:hAnsi="Times New Roman"/>
        </w:rPr>
        <w:t>3.27</w:t>
      </w:r>
      <w:r w:rsidR="00CA00B4">
        <w:rPr>
          <w:rFonts w:ascii="Times New Roman" w:hAnsi="Times New Roman"/>
        </w:rPr>
        <w:t xml:space="preserve">, supporting H2. In addition, an effect of block number and a block by condition interaction (both </w:t>
      </w:r>
      <w:r w:rsidR="00CA00B4" w:rsidRPr="00092678">
        <w:rPr>
          <w:rFonts w:ascii="Times New Roman" w:hAnsi="Times New Roman"/>
          <w:i/>
          <w:iCs/>
        </w:rPr>
        <w:t>p</w:t>
      </w:r>
      <w:r w:rsidR="00CA00B4">
        <w:rPr>
          <w:rFonts w:ascii="Times New Roman" w:hAnsi="Times New Roman"/>
        </w:rPr>
        <w:t>&lt;.</w:t>
      </w:r>
      <w:r w:rsidR="00F1052B">
        <w:rPr>
          <w:rFonts w:ascii="Times New Roman" w:hAnsi="Times New Roman"/>
        </w:rPr>
        <w:t>02 or lower</w:t>
      </w:r>
      <w:r w:rsidR="00CA00B4">
        <w:rPr>
          <w:rFonts w:ascii="Times New Roman" w:hAnsi="Times New Roman"/>
        </w:rPr>
        <w:t xml:space="preserve">) reflected the fact that investment rates trended down in the Solo-rep condition, but held relatively constant in the Solo-pre condition. </w:t>
      </w:r>
    </w:p>
    <w:p w14:paraId="34A9CF59" w14:textId="48DF220A" w:rsidR="000E5CC3" w:rsidRPr="002208A3" w:rsidRDefault="003F71FF" w:rsidP="00092678">
      <w:pPr>
        <w:spacing w:line="480" w:lineRule="auto"/>
        <w:ind w:firstLine="720"/>
        <w:rPr>
          <w:rFonts w:ascii="Times New Roman" w:hAnsi="Times New Roman"/>
        </w:rPr>
      </w:pPr>
      <w:r>
        <w:rPr>
          <w:rFonts w:ascii="Times New Roman" w:hAnsi="Times New Roman"/>
        </w:rPr>
        <w:t xml:space="preserve">As an exploratory analysis, we compared the Study 2 (solo game) results with the Study 1 (stochastic social dilemma) results by combining the datasets, as seen in Figure 5. </w:t>
      </w:r>
      <w:r w:rsidR="00401531">
        <w:rPr>
          <w:rFonts w:ascii="Times New Roman" w:hAnsi="Times New Roman"/>
        </w:rPr>
        <w:t>We employed a</w:t>
      </w:r>
      <w:r w:rsidR="00897647" w:rsidRPr="002208A3">
        <w:rPr>
          <w:rFonts w:ascii="Times New Roman" w:hAnsi="Times New Roman"/>
        </w:rPr>
        <w:t xml:space="preserve"> </w:t>
      </w:r>
      <w:r w:rsidR="00401531">
        <w:rPr>
          <w:rFonts w:ascii="Times New Roman" w:hAnsi="Times New Roman"/>
        </w:rPr>
        <w:t>logistic mixed model</w:t>
      </w:r>
      <w:r w:rsidR="00401531" w:rsidRPr="002208A3">
        <w:rPr>
          <w:rFonts w:ascii="Times New Roman" w:hAnsi="Times New Roman"/>
        </w:rPr>
        <w:t xml:space="preserve"> </w:t>
      </w:r>
      <w:r w:rsidR="00401531">
        <w:rPr>
          <w:rFonts w:ascii="Times New Roman" w:hAnsi="Times New Roman"/>
        </w:rPr>
        <w:t xml:space="preserve">predicting investment choices, using fixed effects of game type </w:t>
      </w:r>
      <w:r w:rsidR="00897647" w:rsidRPr="002208A3">
        <w:rPr>
          <w:rFonts w:ascii="Times New Roman" w:hAnsi="Times New Roman"/>
        </w:rPr>
        <w:t xml:space="preserve">(comparing </w:t>
      </w:r>
      <w:r w:rsidR="00401531">
        <w:rPr>
          <w:rFonts w:ascii="Times New Roman" w:hAnsi="Times New Roman"/>
        </w:rPr>
        <w:t>SPD</w:t>
      </w:r>
      <w:r w:rsidR="00897647" w:rsidRPr="002208A3">
        <w:rPr>
          <w:rFonts w:ascii="Times New Roman" w:hAnsi="Times New Roman"/>
        </w:rPr>
        <w:t xml:space="preserve"> vs solo</w:t>
      </w:r>
      <w:r w:rsidR="00401531">
        <w:rPr>
          <w:rFonts w:ascii="Times New Roman" w:hAnsi="Times New Roman"/>
        </w:rPr>
        <w:t>),</w:t>
      </w:r>
      <w:r w:rsidR="00897647" w:rsidRPr="002208A3">
        <w:rPr>
          <w:rFonts w:ascii="Times New Roman" w:hAnsi="Times New Roman"/>
        </w:rPr>
        <w:t xml:space="preserve"> </w:t>
      </w:r>
      <w:r w:rsidR="00401531">
        <w:rPr>
          <w:rFonts w:ascii="Times New Roman" w:hAnsi="Times New Roman"/>
        </w:rPr>
        <w:t>choice type (</w:t>
      </w:r>
      <w:r w:rsidR="00897647" w:rsidRPr="002208A3">
        <w:rPr>
          <w:rFonts w:ascii="Times New Roman" w:hAnsi="Times New Roman"/>
        </w:rPr>
        <w:t>repeated vs precommitted)</w:t>
      </w:r>
      <w:r w:rsidR="00401531">
        <w:rPr>
          <w:rFonts w:ascii="Times New Roman" w:hAnsi="Times New Roman"/>
        </w:rPr>
        <w:t xml:space="preserve">, </w:t>
      </w:r>
      <w:r w:rsidR="00401531">
        <w:rPr>
          <w:rFonts w:ascii="Times New Roman" w:hAnsi="Times New Roman"/>
        </w:rPr>
        <w:lastRenderedPageBreak/>
        <w:t>block number (continuous), and their interactions, plus a random effect of participant ID. (We did not include a random effect of partner ID, because participants in the solo condition did not have a partner.)</w:t>
      </w:r>
      <w:r w:rsidR="00833EE7">
        <w:rPr>
          <w:rFonts w:ascii="Times New Roman" w:hAnsi="Times New Roman"/>
        </w:rPr>
        <w:t xml:space="preserve"> This revealed a significant effect of choice type (</w:t>
      </w:r>
      <w:r w:rsidR="00833EE7" w:rsidRPr="002208A3">
        <w:rPr>
          <w:rFonts w:ascii="Times New Roman" w:hAnsi="Times New Roman"/>
        </w:rPr>
        <w:t>repeated vs precommitted</w:t>
      </w:r>
      <w:r w:rsidR="00833EE7">
        <w:rPr>
          <w:rFonts w:ascii="Times New Roman" w:hAnsi="Times New Roman"/>
        </w:rPr>
        <w:t xml:space="preserve">), </w:t>
      </w:r>
      <w:r w:rsidR="00833EE7" w:rsidRPr="00833EE7">
        <w:rPr>
          <w:rFonts w:ascii="Times New Roman" w:hAnsi="Times New Roman"/>
        </w:rPr>
        <w:t>B=</w:t>
      </w:r>
      <w:r w:rsidR="00833EE7">
        <w:rPr>
          <w:rFonts w:ascii="Times New Roman" w:hAnsi="Times New Roman"/>
        </w:rPr>
        <w:t>1.42</w:t>
      </w:r>
      <w:r w:rsidR="00833EE7" w:rsidRPr="00833EE7">
        <w:rPr>
          <w:rFonts w:ascii="Times New Roman" w:hAnsi="Times New Roman"/>
        </w:rPr>
        <w:t>, SE=</w:t>
      </w:r>
      <w:r w:rsidR="00833EE7">
        <w:rPr>
          <w:rFonts w:ascii="Times New Roman" w:hAnsi="Times New Roman"/>
        </w:rPr>
        <w:t>0.69</w:t>
      </w:r>
      <w:r w:rsidR="00833EE7" w:rsidRPr="00833EE7">
        <w:rPr>
          <w:rFonts w:ascii="Times New Roman" w:hAnsi="Times New Roman"/>
        </w:rPr>
        <w:t>, p=</w:t>
      </w:r>
      <w:r w:rsidR="00833EE7">
        <w:rPr>
          <w:rFonts w:ascii="Times New Roman" w:hAnsi="Times New Roman"/>
        </w:rPr>
        <w:t>.04</w:t>
      </w:r>
      <w:r w:rsidR="00833EE7" w:rsidRPr="00833EE7">
        <w:rPr>
          <w:rFonts w:ascii="Times New Roman" w:hAnsi="Times New Roman"/>
        </w:rPr>
        <w:t>, OR=</w:t>
      </w:r>
      <w:r w:rsidR="00833EE7">
        <w:rPr>
          <w:rFonts w:ascii="Times New Roman" w:hAnsi="Times New Roman"/>
        </w:rPr>
        <w:t xml:space="preserve">2.07. In addition, a 2-way interaction of block number with game type, </w:t>
      </w:r>
      <w:r w:rsidR="00833EE7" w:rsidRPr="00833EE7">
        <w:rPr>
          <w:rFonts w:ascii="Times New Roman" w:hAnsi="Times New Roman"/>
        </w:rPr>
        <w:t>B=</w:t>
      </w:r>
      <w:r w:rsidR="000F0ABB">
        <w:rPr>
          <w:rFonts w:ascii="Times New Roman" w:hAnsi="Times New Roman"/>
        </w:rPr>
        <w:t>0.51</w:t>
      </w:r>
      <w:r w:rsidR="00833EE7" w:rsidRPr="00833EE7">
        <w:rPr>
          <w:rFonts w:ascii="Times New Roman" w:hAnsi="Times New Roman"/>
        </w:rPr>
        <w:t>, SE=</w:t>
      </w:r>
      <w:r w:rsidR="000F0ABB">
        <w:rPr>
          <w:rFonts w:ascii="Times New Roman" w:hAnsi="Times New Roman"/>
        </w:rPr>
        <w:t>0.07</w:t>
      </w:r>
      <w:r w:rsidR="00833EE7" w:rsidRPr="00833EE7">
        <w:rPr>
          <w:rFonts w:ascii="Times New Roman" w:hAnsi="Times New Roman"/>
        </w:rPr>
        <w:t>, p</w:t>
      </w:r>
      <w:r w:rsidR="000F0ABB">
        <w:rPr>
          <w:rFonts w:ascii="Times New Roman" w:hAnsi="Times New Roman"/>
        </w:rPr>
        <w:t>&lt;.001</w:t>
      </w:r>
      <w:r w:rsidR="00833EE7" w:rsidRPr="00833EE7">
        <w:rPr>
          <w:rFonts w:ascii="Times New Roman" w:hAnsi="Times New Roman"/>
        </w:rPr>
        <w:t>, OR=</w:t>
      </w:r>
      <w:r w:rsidR="000F0ABB">
        <w:rPr>
          <w:rFonts w:ascii="Times New Roman" w:hAnsi="Times New Roman"/>
        </w:rPr>
        <w:t>6.96</w:t>
      </w:r>
      <w:r w:rsidR="00833EE7">
        <w:rPr>
          <w:rFonts w:ascii="Times New Roman" w:hAnsi="Times New Roman"/>
        </w:rPr>
        <w:t xml:space="preserve">, a 2-way interaction of block number and choice type, </w:t>
      </w:r>
      <w:r w:rsidR="00833EE7" w:rsidRPr="00833EE7">
        <w:rPr>
          <w:rFonts w:ascii="Times New Roman" w:hAnsi="Times New Roman"/>
        </w:rPr>
        <w:t>B=</w:t>
      </w:r>
      <w:r w:rsidR="000F0ABB">
        <w:rPr>
          <w:rFonts w:ascii="Times New Roman" w:hAnsi="Times New Roman"/>
        </w:rPr>
        <w:t>0.17</w:t>
      </w:r>
      <w:r w:rsidR="00833EE7" w:rsidRPr="00833EE7">
        <w:rPr>
          <w:rFonts w:ascii="Times New Roman" w:hAnsi="Times New Roman"/>
        </w:rPr>
        <w:t>, SE=</w:t>
      </w:r>
      <w:r w:rsidR="000F0ABB">
        <w:rPr>
          <w:rFonts w:ascii="Times New Roman" w:hAnsi="Times New Roman"/>
        </w:rPr>
        <w:t>0.07</w:t>
      </w:r>
      <w:r w:rsidR="00833EE7" w:rsidRPr="00833EE7">
        <w:rPr>
          <w:rFonts w:ascii="Times New Roman" w:hAnsi="Times New Roman"/>
        </w:rPr>
        <w:t>, p=</w:t>
      </w:r>
      <w:r w:rsidR="000F0ABB">
        <w:rPr>
          <w:rFonts w:ascii="Times New Roman" w:hAnsi="Times New Roman"/>
        </w:rPr>
        <w:t>.001</w:t>
      </w:r>
      <w:r w:rsidR="00833EE7" w:rsidRPr="00833EE7">
        <w:rPr>
          <w:rFonts w:ascii="Times New Roman" w:hAnsi="Times New Roman"/>
        </w:rPr>
        <w:t>, OR=</w:t>
      </w:r>
      <w:r w:rsidR="000F0ABB">
        <w:rPr>
          <w:rFonts w:ascii="Times New Roman" w:hAnsi="Times New Roman"/>
        </w:rPr>
        <w:t>2.64</w:t>
      </w:r>
      <w:r w:rsidR="00833EE7">
        <w:rPr>
          <w:rFonts w:ascii="Times New Roman" w:hAnsi="Times New Roman"/>
        </w:rPr>
        <w:t xml:space="preserve">, and a 3-way interaction of block number, choice type, and game type, </w:t>
      </w:r>
      <w:r w:rsidR="00833EE7" w:rsidRPr="00833EE7">
        <w:rPr>
          <w:rFonts w:ascii="Times New Roman" w:hAnsi="Times New Roman"/>
        </w:rPr>
        <w:t>B=</w:t>
      </w:r>
      <w:r w:rsidR="000F0ABB">
        <w:rPr>
          <w:rFonts w:ascii="Times New Roman" w:hAnsi="Times New Roman"/>
        </w:rPr>
        <w:t>0.33</w:t>
      </w:r>
      <w:r w:rsidR="00833EE7" w:rsidRPr="00833EE7">
        <w:rPr>
          <w:rFonts w:ascii="Times New Roman" w:hAnsi="Times New Roman"/>
        </w:rPr>
        <w:t>, SE=</w:t>
      </w:r>
      <w:r w:rsidR="000F0ABB">
        <w:rPr>
          <w:rFonts w:ascii="Times New Roman" w:hAnsi="Times New Roman"/>
        </w:rPr>
        <w:t>0.10</w:t>
      </w:r>
      <w:r w:rsidR="00833EE7" w:rsidRPr="00833EE7">
        <w:rPr>
          <w:rFonts w:ascii="Times New Roman" w:hAnsi="Times New Roman"/>
        </w:rPr>
        <w:t>, p</w:t>
      </w:r>
      <w:r w:rsidR="000F0ABB">
        <w:rPr>
          <w:rFonts w:ascii="Times New Roman" w:hAnsi="Times New Roman"/>
        </w:rPr>
        <w:t>&lt;.001</w:t>
      </w:r>
      <w:r w:rsidR="00833EE7" w:rsidRPr="00833EE7">
        <w:rPr>
          <w:rFonts w:ascii="Times New Roman" w:hAnsi="Times New Roman"/>
        </w:rPr>
        <w:t>, OR=</w:t>
      </w:r>
      <w:r w:rsidR="000F0ABB">
        <w:rPr>
          <w:rFonts w:ascii="Times New Roman" w:hAnsi="Times New Roman"/>
        </w:rPr>
        <w:t>3.38</w:t>
      </w:r>
      <w:r w:rsidR="00833EE7">
        <w:rPr>
          <w:rFonts w:ascii="Times New Roman" w:hAnsi="Times New Roman"/>
        </w:rPr>
        <w:t xml:space="preserve">, reflect the time trends seen in Figure 5: </w:t>
      </w:r>
      <w:r w:rsidR="002953FB">
        <w:rPr>
          <w:rFonts w:ascii="Times New Roman" w:hAnsi="Times New Roman"/>
        </w:rPr>
        <w:t xml:space="preserve">in the first block, precommitment had the same impact in the SPD game and Solo game, but over time </w:t>
      </w:r>
      <w:r w:rsidR="00CD4F52">
        <w:rPr>
          <w:rFonts w:ascii="Times New Roman" w:hAnsi="Times New Roman"/>
        </w:rPr>
        <w:t xml:space="preserve">the Solo-pre condition remain relatively constant while the other three conditions all trended downward. </w:t>
      </w:r>
    </w:p>
    <w:p w14:paraId="71845216" w14:textId="27BDB40B" w:rsidR="001A4671" w:rsidRPr="002208A3" w:rsidRDefault="001A4671" w:rsidP="00AF2B85">
      <w:pPr>
        <w:spacing w:line="480" w:lineRule="auto"/>
        <w:rPr>
          <w:rFonts w:ascii="Times New Roman" w:hAnsi="Times New Roman"/>
        </w:rPr>
      </w:pPr>
      <w:r w:rsidRPr="002208A3">
        <w:rPr>
          <w:rFonts w:ascii="Times New Roman" w:hAnsi="Times New Roman"/>
          <w:i/>
        </w:rPr>
        <w:t xml:space="preserve">Figure </w:t>
      </w:r>
      <w:r w:rsidR="006829C1">
        <w:rPr>
          <w:rFonts w:ascii="Times New Roman" w:hAnsi="Times New Roman"/>
          <w:i/>
        </w:rPr>
        <w:t>5</w:t>
      </w:r>
      <w:r w:rsidRPr="002208A3">
        <w:rPr>
          <w:rFonts w:ascii="Times New Roman" w:hAnsi="Times New Roman"/>
          <w:i/>
        </w:rPr>
        <w:t xml:space="preserve">: Mean investment proportions in the repeated solo (Solo-rep) and precommitted solo (Solo-pre) games in Study </w:t>
      </w:r>
      <w:r w:rsidR="00FD0A5B">
        <w:rPr>
          <w:rFonts w:ascii="Times New Roman" w:hAnsi="Times New Roman"/>
          <w:i/>
        </w:rPr>
        <w:t>2</w:t>
      </w:r>
      <w:r w:rsidRPr="002208A3">
        <w:rPr>
          <w:rFonts w:ascii="Times New Roman" w:hAnsi="Times New Roman"/>
          <w:i/>
        </w:rPr>
        <w:t>, as compared with the stochastic prisoner's dilemma (SPD-rep</w:t>
      </w:r>
      <w:r w:rsidR="00C624A4">
        <w:rPr>
          <w:rFonts w:ascii="Times New Roman" w:hAnsi="Times New Roman"/>
          <w:i/>
        </w:rPr>
        <w:t xml:space="preserve"> </w:t>
      </w:r>
      <w:r w:rsidRPr="002208A3">
        <w:rPr>
          <w:rFonts w:ascii="Times New Roman" w:hAnsi="Times New Roman"/>
          <w:i/>
        </w:rPr>
        <w:t xml:space="preserve">and SPD-pre) data from </w:t>
      </w:r>
      <w:r w:rsidR="00265BFB" w:rsidRPr="002208A3">
        <w:rPr>
          <w:rFonts w:ascii="Times New Roman" w:hAnsi="Times New Roman"/>
          <w:i/>
        </w:rPr>
        <w:t>Stud</w:t>
      </w:r>
      <w:r w:rsidR="00265BFB">
        <w:rPr>
          <w:rFonts w:ascii="Times New Roman" w:hAnsi="Times New Roman"/>
          <w:i/>
        </w:rPr>
        <w:t>y</w:t>
      </w:r>
      <w:r w:rsidR="00265BFB" w:rsidRPr="002208A3">
        <w:rPr>
          <w:rFonts w:ascii="Times New Roman" w:hAnsi="Times New Roman"/>
          <w:i/>
        </w:rPr>
        <w:t xml:space="preserve"> </w:t>
      </w:r>
      <w:r w:rsidRPr="002208A3">
        <w:rPr>
          <w:rFonts w:ascii="Times New Roman" w:hAnsi="Times New Roman"/>
          <w:i/>
        </w:rPr>
        <w:t xml:space="preserve">1. </w:t>
      </w:r>
      <w:r w:rsidR="007E6E11" w:rsidRPr="002208A3">
        <w:rPr>
          <w:rFonts w:ascii="Times New Roman" w:hAnsi="Times New Roman"/>
          <w:i/>
        </w:rPr>
        <w:t>Error bars represent +/- one standard error.</w:t>
      </w:r>
    </w:p>
    <w:p w14:paraId="7C4DFE24" w14:textId="2EA5752D" w:rsidR="001A4671" w:rsidRPr="002208A3" w:rsidRDefault="00753041" w:rsidP="00AF2B85">
      <w:pPr>
        <w:spacing w:line="480" w:lineRule="auto"/>
        <w:rPr>
          <w:rFonts w:ascii="Times New Roman" w:hAnsi="Times New Roman"/>
          <w:i/>
        </w:rPr>
      </w:pPr>
      <w:r>
        <w:rPr>
          <w:rFonts w:ascii="Times New Roman" w:hAnsi="Times New Roman"/>
          <w:i/>
          <w:noProof/>
        </w:rPr>
        <w:lastRenderedPageBreak/>
        <w:drawing>
          <wp:inline distT="0" distB="0" distL="0" distR="0" wp14:anchorId="653258A7" wp14:editId="09B96FE8">
            <wp:extent cx="5729943" cy="4158532"/>
            <wp:effectExtent l="0" t="0" r="4445" b="0"/>
            <wp:docPr id="6625488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2715" cy="4167801"/>
                    </a:xfrm>
                    <a:prstGeom prst="rect">
                      <a:avLst/>
                    </a:prstGeom>
                    <a:noFill/>
                  </pic:spPr>
                </pic:pic>
              </a:graphicData>
            </a:graphic>
          </wp:inline>
        </w:drawing>
      </w:r>
    </w:p>
    <w:p w14:paraId="588FDD0B" w14:textId="1C37E59E" w:rsidR="0027608A" w:rsidRPr="002208A3" w:rsidRDefault="0027608A" w:rsidP="00AF2B85">
      <w:pPr>
        <w:spacing w:line="480" w:lineRule="auto"/>
        <w:rPr>
          <w:rFonts w:ascii="Times New Roman" w:hAnsi="Times New Roman"/>
        </w:rPr>
      </w:pPr>
      <w:r w:rsidRPr="002208A3">
        <w:rPr>
          <w:rFonts w:ascii="Times New Roman" w:hAnsi="Times New Roman"/>
        </w:rPr>
        <w:tab/>
        <w:t xml:space="preserve">To further </w:t>
      </w:r>
      <w:r w:rsidR="00CC0C4E">
        <w:rPr>
          <w:rFonts w:ascii="Times New Roman" w:hAnsi="Times New Roman"/>
        </w:rPr>
        <w:t>explore</w:t>
      </w:r>
      <w:r w:rsidRPr="002208A3">
        <w:rPr>
          <w:rFonts w:ascii="Times New Roman" w:hAnsi="Times New Roman"/>
        </w:rPr>
        <w:t xml:space="preserve"> the </w:t>
      </w:r>
      <w:r w:rsidR="003B7807">
        <w:rPr>
          <w:rFonts w:ascii="Times New Roman" w:hAnsi="Times New Roman"/>
        </w:rPr>
        <w:t>“multiple goals”</w:t>
      </w:r>
      <w:r w:rsidR="003B7807" w:rsidRPr="002208A3">
        <w:rPr>
          <w:rFonts w:ascii="Times New Roman" w:hAnsi="Times New Roman"/>
        </w:rPr>
        <w:t xml:space="preserve"> </w:t>
      </w:r>
      <w:r w:rsidRPr="002208A3">
        <w:rPr>
          <w:rFonts w:ascii="Times New Roman" w:hAnsi="Times New Roman"/>
        </w:rPr>
        <w:t>explanation for the effectiveness of precommitment, we had two independent coders code whether or not each participant mentioned low probability of los</w:t>
      </w:r>
      <w:r w:rsidR="00CC0C4E">
        <w:rPr>
          <w:rFonts w:ascii="Times New Roman" w:hAnsi="Times New Roman"/>
        </w:rPr>
        <w:t xml:space="preserve">s (coding data from both the </w:t>
      </w:r>
      <w:r w:rsidR="0082084B">
        <w:rPr>
          <w:rFonts w:ascii="Times New Roman" w:hAnsi="Times New Roman"/>
        </w:rPr>
        <w:t xml:space="preserve">SPD </w:t>
      </w:r>
      <w:r w:rsidR="00CC0C4E">
        <w:rPr>
          <w:rFonts w:ascii="Times New Roman" w:hAnsi="Times New Roman"/>
        </w:rPr>
        <w:t>conditions in Study 1 and the solo conditions in Study 2)</w:t>
      </w:r>
      <w:r w:rsidRPr="002208A3">
        <w:rPr>
          <w:rFonts w:ascii="Times New Roman" w:hAnsi="Times New Roman"/>
        </w:rPr>
        <w:t xml:space="preserve">. </w:t>
      </w:r>
      <w:r w:rsidR="007C0579" w:rsidRPr="002208A3">
        <w:rPr>
          <w:rFonts w:ascii="Times New Roman" w:hAnsi="Times New Roman"/>
        </w:rPr>
        <w:t xml:space="preserve">Recall that we hypothesized that precommitment would </w:t>
      </w:r>
      <w:r w:rsidR="00C87B69">
        <w:rPr>
          <w:rFonts w:ascii="Times New Roman" w:hAnsi="Times New Roman"/>
        </w:rPr>
        <w:t xml:space="preserve">nudge the participants to </w:t>
      </w:r>
      <w:r w:rsidR="008865AF">
        <w:rPr>
          <w:rFonts w:ascii="Times New Roman" w:hAnsi="Times New Roman"/>
        </w:rPr>
        <w:t xml:space="preserve">recruit a more holistic view with a focus on a good performance overall (i.e., across all rounds of the game) </w:t>
      </w:r>
      <w:r w:rsidR="007C0579" w:rsidRPr="002208A3">
        <w:rPr>
          <w:rFonts w:ascii="Times New Roman" w:hAnsi="Times New Roman"/>
        </w:rPr>
        <w:t xml:space="preserve">-- therefore, we </w:t>
      </w:r>
      <w:r w:rsidR="00346DC2">
        <w:rPr>
          <w:rFonts w:ascii="Times New Roman" w:hAnsi="Times New Roman"/>
        </w:rPr>
        <w:t>expected</w:t>
      </w:r>
      <w:r w:rsidR="007C0579" w:rsidRPr="002208A3">
        <w:rPr>
          <w:rFonts w:ascii="Times New Roman" w:hAnsi="Times New Roman"/>
        </w:rPr>
        <w:t xml:space="preserve"> that participants in precommitted conditions would be less likely to mention low probability of loss. </w:t>
      </w:r>
      <w:r w:rsidR="00A60EDA" w:rsidRPr="002208A3">
        <w:rPr>
          <w:rFonts w:ascii="Times New Roman" w:hAnsi="Times New Roman"/>
        </w:rPr>
        <w:t xml:space="preserve">The correlation between coders was moderate, at </w:t>
      </w:r>
      <w:r w:rsidR="00A60EDA" w:rsidRPr="00282B16">
        <w:rPr>
          <w:rFonts w:ascii="Times New Roman" w:hAnsi="Times New Roman"/>
          <w:i/>
        </w:rPr>
        <w:t>r</w:t>
      </w:r>
      <w:r w:rsidR="00A60EDA" w:rsidRPr="00282B16">
        <w:rPr>
          <w:rFonts w:ascii="Times New Roman" w:hAnsi="Times New Roman"/>
        </w:rPr>
        <w:t>=.</w:t>
      </w:r>
      <w:r w:rsidR="005D48B1" w:rsidRPr="00282B16">
        <w:rPr>
          <w:rFonts w:ascii="Times New Roman" w:hAnsi="Times New Roman"/>
        </w:rPr>
        <w:t>83</w:t>
      </w:r>
      <w:r w:rsidR="005D48B1">
        <w:rPr>
          <w:rFonts w:ascii="Times New Roman" w:hAnsi="Times New Roman"/>
        </w:rPr>
        <w:t xml:space="preserve"> (Cohen’s Kappa = .83, SE = .05)</w:t>
      </w:r>
      <w:r w:rsidR="00A60EDA" w:rsidRPr="002208A3">
        <w:rPr>
          <w:rFonts w:ascii="Times New Roman" w:hAnsi="Times New Roman"/>
        </w:rPr>
        <w:t xml:space="preserve">. </w:t>
      </w:r>
      <w:r w:rsidR="00817844" w:rsidRPr="002208A3">
        <w:rPr>
          <w:rFonts w:ascii="Times New Roman" w:hAnsi="Times New Roman"/>
        </w:rPr>
        <w:t xml:space="preserve">As before, when there was disagreement, we </w:t>
      </w:r>
      <w:r w:rsidR="0082084B">
        <w:rPr>
          <w:rFonts w:ascii="Times New Roman" w:hAnsi="Times New Roman"/>
        </w:rPr>
        <w:t>“</w:t>
      </w:r>
      <w:r w:rsidR="00817844" w:rsidRPr="002208A3">
        <w:rPr>
          <w:rFonts w:ascii="Times New Roman" w:hAnsi="Times New Roman"/>
        </w:rPr>
        <w:t>rounded up</w:t>
      </w:r>
      <w:r w:rsidR="0082084B">
        <w:rPr>
          <w:rFonts w:ascii="Times New Roman" w:hAnsi="Times New Roman"/>
        </w:rPr>
        <w:t>”</w:t>
      </w:r>
      <w:r w:rsidR="0082084B" w:rsidRPr="002208A3">
        <w:rPr>
          <w:rFonts w:ascii="Times New Roman" w:hAnsi="Times New Roman"/>
        </w:rPr>
        <w:t xml:space="preserve"> </w:t>
      </w:r>
      <w:r w:rsidR="00817844" w:rsidRPr="002208A3">
        <w:rPr>
          <w:rFonts w:ascii="Times New Roman" w:hAnsi="Times New Roman"/>
        </w:rPr>
        <w:t xml:space="preserve">and considered that participant as having indeed mentioned </w:t>
      </w:r>
      <w:r w:rsidR="0082084B">
        <w:rPr>
          <w:rFonts w:ascii="Times New Roman" w:hAnsi="Times New Roman"/>
        </w:rPr>
        <w:t>that thing</w:t>
      </w:r>
      <w:r w:rsidR="00817844" w:rsidRPr="002208A3">
        <w:rPr>
          <w:rFonts w:ascii="Times New Roman" w:hAnsi="Times New Roman"/>
        </w:rPr>
        <w:t xml:space="preserve">. </w:t>
      </w:r>
    </w:p>
    <w:p w14:paraId="3B73885E" w14:textId="3329A503" w:rsidR="005D3AFD" w:rsidRPr="002208A3" w:rsidRDefault="005D3AFD" w:rsidP="00AF2B85">
      <w:pPr>
        <w:spacing w:line="480" w:lineRule="auto"/>
        <w:rPr>
          <w:rFonts w:ascii="Times New Roman" w:hAnsi="Times New Roman"/>
        </w:rPr>
      </w:pPr>
      <w:r w:rsidRPr="002208A3">
        <w:rPr>
          <w:rFonts w:ascii="Times New Roman" w:hAnsi="Times New Roman"/>
          <w:i/>
        </w:rPr>
        <w:lastRenderedPageBreak/>
        <w:tab/>
      </w:r>
      <w:r w:rsidRPr="002208A3">
        <w:rPr>
          <w:rFonts w:ascii="Times New Roman" w:hAnsi="Times New Roman"/>
        </w:rPr>
        <w:t xml:space="preserve">As shown in Figure </w:t>
      </w:r>
      <w:r w:rsidR="006829C1">
        <w:rPr>
          <w:rFonts w:ascii="Times New Roman" w:hAnsi="Times New Roman"/>
        </w:rPr>
        <w:t>6</w:t>
      </w:r>
      <w:r w:rsidRPr="002208A3">
        <w:rPr>
          <w:rFonts w:ascii="Times New Roman" w:hAnsi="Times New Roman"/>
        </w:rPr>
        <w:t>, participants in the precommitted conditions were less likely to mention low probability of loss</w:t>
      </w:r>
      <w:r w:rsidR="00A077B0" w:rsidRPr="002208A3">
        <w:rPr>
          <w:rFonts w:ascii="Times New Roman" w:hAnsi="Times New Roman"/>
        </w:rPr>
        <w:t xml:space="preserve">, as confirmed by a chi-square test of independence, </w:t>
      </w:r>
      <w:r w:rsidR="00A077B0" w:rsidRPr="002208A3">
        <w:rPr>
          <w:rFonts w:ascii="Times New Roman" w:hAnsi="Times New Roman"/>
          <w:i/>
        </w:rPr>
        <w:t>x</w:t>
      </w:r>
      <w:r w:rsidR="00A077B0" w:rsidRPr="002208A3">
        <w:rPr>
          <w:rFonts w:ascii="Times New Roman" w:hAnsi="Times New Roman"/>
          <w:vertAlign w:val="superscript"/>
        </w:rPr>
        <w:t>2</w:t>
      </w:r>
      <w:r w:rsidR="00A077B0" w:rsidRPr="002208A3">
        <w:rPr>
          <w:rFonts w:ascii="Times New Roman" w:hAnsi="Times New Roman"/>
        </w:rPr>
        <w:t xml:space="preserve"> (</w:t>
      </w:r>
      <w:r w:rsidR="00626544">
        <w:rPr>
          <w:rFonts w:ascii="Times New Roman" w:hAnsi="Times New Roman"/>
          <w:i/>
        </w:rPr>
        <w:t>n</w:t>
      </w:r>
      <w:r w:rsidR="00A077B0" w:rsidRPr="002208A3">
        <w:rPr>
          <w:rFonts w:ascii="Times New Roman" w:hAnsi="Times New Roman"/>
        </w:rPr>
        <w:t>=</w:t>
      </w:r>
      <w:proofErr w:type="gramStart"/>
      <w:r w:rsidR="006A24F6">
        <w:rPr>
          <w:rFonts w:ascii="Times New Roman" w:hAnsi="Times New Roman"/>
        </w:rPr>
        <w:t>118</w:t>
      </w:r>
      <w:r w:rsidR="00A077B0" w:rsidRPr="002208A3">
        <w:rPr>
          <w:rFonts w:ascii="Times New Roman" w:hAnsi="Times New Roman"/>
        </w:rPr>
        <w:t>)=</w:t>
      </w:r>
      <w:proofErr w:type="gramEnd"/>
      <w:r w:rsidR="006A24F6">
        <w:rPr>
          <w:rFonts w:ascii="Times New Roman" w:hAnsi="Times New Roman"/>
        </w:rPr>
        <w:t>7</w:t>
      </w:r>
      <w:r w:rsidR="00DB6681" w:rsidRPr="002208A3">
        <w:rPr>
          <w:rFonts w:ascii="Times New Roman" w:hAnsi="Times New Roman"/>
        </w:rPr>
        <w:t>.</w:t>
      </w:r>
      <w:r w:rsidR="006A24F6" w:rsidRPr="002208A3">
        <w:rPr>
          <w:rFonts w:ascii="Times New Roman" w:hAnsi="Times New Roman"/>
        </w:rPr>
        <w:t>6</w:t>
      </w:r>
      <w:r w:rsidR="006A24F6">
        <w:rPr>
          <w:rFonts w:ascii="Times New Roman" w:hAnsi="Times New Roman"/>
        </w:rPr>
        <w:t>6</w:t>
      </w:r>
      <w:r w:rsidR="00A077B0" w:rsidRPr="002208A3">
        <w:rPr>
          <w:rFonts w:ascii="Times New Roman" w:hAnsi="Times New Roman"/>
        </w:rPr>
        <w:t xml:space="preserve">, </w:t>
      </w:r>
      <w:r w:rsidR="00A077B0" w:rsidRPr="002208A3">
        <w:rPr>
          <w:rFonts w:ascii="Times New Roman" w:hAnsi="Times New Roman"/>
          <w:i/>
        </w:rPr>
        <w:t>p</w:t>
      </w:r>
      <w:r w:rsidR="006A24F6">
        <w:rPr>
          <w:rFonts w:ascii="Times New Roman" w:hAnsi="Times New Roman"/>
        </w:rPr>
        <w:t>&lt;</w:t>
      </w:r>
      <w:r w:rsidR="006A24F6" w:rsidRPr="002208A3">
        <w:rPr>
          <w:rFonts w:ascii="Times New Roman" w:hAnsi="Times New Roman"/>
        </w:rPr>
        <w:t>.</w:t>
      </w:r>
      <w:r w:rsidR="00DB6681" w:rsidRPr="002208A3">
        <w:rPr>
          <w:rFonts w:ascii="Times New Roman" w:hAnsi="Times New Roman"/>
        </w:rPr>
        <w:t>01</w:t>
      </w:r>
      <w:r w:rsidR="00A077B0" w:rsidRPr="002208A3">
        <w:rPr>
          <w:rFonts w:ascii="Times New Roman" w:hAnsi="Times New Roman"/>
        </w:rPr>
        <w:t xml:space="preserve">. </w:t>
      </w:r>
      <w:r w:rsidR="00B5780A">
        <w:rPr>
          <w:rFonts w:ascii="Times New Roman" w:hAnsi="Times New Roman"/>
        </w:rPr>
        <w:t>Rather, participants in the precommitted condition were more likely to mention the cumulative chance of loss, weighed against the aggregate costs of investment. As one participant wrote, “</w:t>
      </w:r>
      <w:r w:rsidR="00B5780A" w:rsidRPr="00B5780A">
        <w:rPr>
          <w:rFonts w:ascii="Times New Roman" w:hAnsi="Times New Roman"/>
        </w:rPr>
        <w:t xml:space="preserve">4% chance means a loss will happen </w:t>
      </w:r>
      <w:proofErr w:type="spellStart"/>
      <w:r w:rsidR="00B5780A" w:rsidRPr="00B5780A">
        <w:rPr>
          <w:rFonts w:ascii="Times New Roman" w:hAnsi="Times New Roman"/>
        </w:rPr>
        <w:t>approx</w:t>
      </w:r>
      <w:proofErr w:type="spellEnd"/>
      <w:r w:rsidR="00B5780A" w:rsidRPr="00B5780A">
        <w:rPr>
          <w:rFonts w:ascii="Times New Roman" w:hAnsi="Times New Roman"/>
        </w:rPr>
        <w:t xml:space="preserve"> 1 out of 20 years. Investment means a loss of 1,400*20 (28k) while </w:t>
      </w:r>
      <w:proofErr w:type="spellStart"/>
      <w:proofErr w:type="gramStart"/>
      <w:r w:rsidR="00B5780A" w:rsidRPr="00B5780A">
        <w:rPr>
          <w:rFonts w:ascii="Times New Roman" w:hAnsi="Times New Roman"/>
        </w:rPr>
        <w:t>a</w:t>
      </w:r>
      <w:proofErr w:type="spellEnd"/>
      <w:proofErr w:type="gramEnd"/>
      <w:r w:rsidR="00B5780A" w:rsidRPr="00B5780A">
        <w:rPr>
          <w:rFonts w:ascii="Times New Roman" w:hAnsi="Times New Roman"/>
        </w:rPr>
        <w:t xml:space="preserve"> expected loss of 40,000 results from no investment.</w:t>
      </w:r>
      <w:r w:rsidR="00B5780A">
        <w:rPr>
          <w:rFonts w:ascii="Times New Roman" w:hAnsi="Times New Roman"/>
        </w:rPr>
        <w:t>”</w:t>
      </w:r>
    </w:p>
    <w:p w14:paraId="5A435344" w14:textId="72012CFE" w:rsidR="00675990" w:rsidRDefault="00675990" w:rsidP="00AF2B85">
      <w:pPr>
        <w:spacing w:line="480" w:lineRule="auto"/>
        <w:rPr>
          <w:rFonts w:ascii="Times New Roman" w:hAnsi="Times New Roman"/>
          <w:i/>
        </w:rPr>
      </w:pPr>
      <w:r w:rsidRPr="002208A3">
        <w:rPr>
          <w:rFonts w:ascii="Times New Roman" w:hAnsi="Times New Roman"/>
          <w:i/>
        </w:rPr>
        <w:t xml:space="preserve">Figure </w:t>
      </w:r>
      <w:r w:rsidR="006829C1">
        <w:rPr>
          <w:rFonts w:ascii="Times New Roman" w:hAnsi="Times New Roman"/>
          <w:i/>
        </w:rPr>
        <w:t>6</w:t>
      </w:r>
      <w:r w:rsidRPr="002208A3">
        <w:rPr>
          <w:rFonts w:ascii="Times New Roman" w:hAnsi="Times New Roman"/>
          <w:i/>
        </w:rPr>
        <w:t>: Mean proportion of participants mentioning "low" probability of loss in each condition</w:t>
      </w:r>
      <w:r w:rsidR="00DC3281" w:rsidRPr="002208A3">
        <w:rPr>
          <w:rFonts w:ascii="Times New Roman" w:hAnsi="Times New Roman"/>
          <w:i/>
        </w:rPr>
        <w:t>, collapsing and comparing data from Studies 1</w:t>
      </w:r>
      <w:r w:rsidR="004C4E0F">
        <w:rPr>
          <w:rFonts w:ascii="Times New Roman" w:hAnsi="Times New Roman"/>
          <w:i/>
        </w:rPr>
        <w:t xml:space="preserve"> </w:t>
      </w:r>
      <w:r w:rsidR="00DC3281" w:rsidRPr="002208A3">
        <w:rPr>
          <w:rFonts w:ascii="Times New Roman" w:hAnsi="Times New Roman"/>
          <w:i/>
        </w:rPr>
        <w:t xml:space="preserve">and </w:t>
      </w:r>
      <w:r w:rsidR="00D07E67">
        <w:rPr>
          <w:rFonts w:ascii="Times New Roman" w:hAnsi="Times New Roman"/>
          <w:i/>
        </w:rPr>
        <w:t>2</w:t>
      </w:r>
      <w:r w:rsidRPr="002208A3">
        <w:rPr>
          <w:rFonts w:ascii="Times New Roman" w:hAnsi="Times New Roman"/>
          <w:i/>
        </w:rPr>
        <w:t>.</w:t>
      </w:r>
      <w:r w:rsidR="007E6E11">
        <w:rPr>
          <w:rFonts w:ascii="Times New Roman" w:hAnsi="Times New Roman"/>
          <w:i/>
        </w:rPr>
        <w:t xml:space="preserve"> </w:t>
      </w:r>
      <w:r w:rsidR="007E6E11" w:rsidRPr="002208A3">
        <w:rPr>
          <w:rFonts w:ascii="Times New Roman" w:hAnsi="Times New Roman"/>
          <w:i/>
        </w:rPr>
        <w:t>Error bars represent +/- one standard error.</w:t>
      </w:r>
    </w:p>
    <w:p w14:paraId="7DDEFADF" w14:textId="35EDD431" w:rsidR="00EB0283" w:rsidRPr="002208A3" w:rsidRDefault="00071A24" w:rsidP="00AF2B85">
      <w:pPr>
        <w:spacing w:line="480" w:lineRule="auto"/>
        <w:rPr>
          <w:rFonts w:ascii="Times New Roman" w:hAnsi="Times New Roman"/>
          <w:i/>
        </w:rPr>
      </w:pPr>
      <w:r>
        <w:rPr>
          <w:rFonts w:ascii="Times New Roman" w:hAnsi="Times New Roman"/>
          <w:i/>
          <w:noProof/>
        </w:rPr>
        <w:drawing>
          <wp:inline distT="0" distB="0" distL="0" distR="0" wp14:anchorId="5A73A8C0" wp14:editId="66516EA7">
            <wp:extent cx="5415833" cy="392094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2377" cy="3940164"/>
                    </a:xfrm>
                    <a:prstGeom prst="rect">
                      <a:avLst/>
                    </a:prstGeom>
                    <a:noFill/>
                  </pic:spPr>
                </pic:pic>
              </a:graphicData>
            </a:graphic>
          </wp:inline>
        </w:drawing>
      </w:r>
    </w:p>
    <w:p w14:paraId="25A2A87B" w14:textId="5FC1D9FF" w:rsidR="009B47AE" w:rsidRPr="002208A3" w:rsidRDefault="009B47AE" w:rsidP="00AF2B85">
      <w:pPr>
        <w:spacing w:line="480" w:lineRule="auto"/>
        <w:rPr>
          <w:rFonts w:ascii="Times New Roman" w:hAnsi="Times New Roman"/>
          <w:i/>
        </w:rPr>
      </w:pPr>
      <w:r w:rsidRPr="002208A3">
        <w:rPr>
          <w:rFonts w:ascii="Times New Roman" w:hAnsi="Times New Roman"/>
          <w:i/>
        </w:rPr>
        <w:t xml:space="preserve">Study </w:t>
      </w:r>
      <w:r w:rsidR="001C4FCC">
        <w:rPr>
          <w:rFonts w:ascii="Times New Roman" w:hAnsi="Times New Roman"/>
          <w:i/>
        </w:rPr>
        <w:t>2</w:t>
      </w:r>
      <w:r w:rsidRPr="002208A3">
        <w:rPr>
          <w:rFonts w:ascii="Times New Roman" w:hAnsi="Times New Roman"/>
          <w:i/>
        </w:rPr>
        <w:t>: Discussion</w:t>
      </w:r>
    </w:p>
    <w:p w14:paraId="6C264821" w14:textId="3BFCB1D5" w:rsidR="00F51C22" w:rsidRPr="002208A3" w:rsidRDefault="00B26E76" w:rsidP="00AF2B85">
      <w:pPr>
        <w:spacing w:line="480" w:lineRule="auto"/>
        <w:rPr>
          <w:rFonts w:ascii="Times New Roman" w:hAnsi="Times New Roman"/>
        </w:rPr>
      </w:pPr>
      <w:r w:rsidRPr="002208A3">
        <w:rPr>
          <w:rFonts w:ascii="Times New Roman" w:hAnsi="Times New Roman"/>
        </w:rPr>
        <w:lastRenderedPageBreak/>
        <w:tab/>
      </w:r>
      <w:r w:rsidR="00592732">
        <w:rPr>
          <w:rFonts w:ascii="Times New Roman" w:hAnsi="Times New Roman"/>
        </w:rPr>
        <w:t>In this solo stochastic loss game,</w:t>
      </w:r>
      <w:r w:rsidRPr="002208A3">
        <w:rPr>
          <w:rFonts w:ascii="Times New Roman" w:hAnsi="Times New Roman"/>
        </w:rPr>
        <w:t xml:space="preserve"> forcing participants to precommit their choices increased their investment rates</w:t>
      </w:r>
      <w:r w:rsidR="00592732">
        <w:rPr>
          <w:rFonts w:ascii="Times New Roman" w:hAnsi="Times New Roman"/>
        </w:rPr>
        <w:t>, even</w:t>
      </w:r>
      <w:r w:rsidRPr="002208A3">
        <w:rPr>
          <w:rFonts w:ascii="Times New Roman" w:hAnsi="Times New Roman"/>
        </w:rPr>
        <w:t xml:space="preserve"> when there was no counterpart to </w:t>
      </w:r>
      <w:r w:rsidR="00F51C22" w:rsidRPr="002208A3">
        <w:rPr>
          <w:rFonts w:ascii="Times New Roman" w:hAnsi="Times New Roman"/>
        </w:rPr>
        <w:t>interact with or consider</w:t>
      </w:r>
      <w:r w:rsidRPr="002208A3">
        <w:rPr>
          <w:rFonts w:ascii="Times New Roman" w:hAnsi="Times New Roman"/>
        </w:rPr>
        <w:t xml:space="preserve">. </w:t>
      </w:r>
      <w:r w:rsidR="00F51C22" w:rsidRPr="002208A3">
        <w:rPr>
          <w:rFonts w:ascii="Times New Roman" w:hAnsi="Times New Roman"/>
        </w:rPr>
        <w:t xml:space="preserve">Therefore, it is </w:t>
      </w:r>
      <w:r w:rsidR="003815EB" w:rsidRPr="002208A3">
        <w:rPr>
          <w:rFonts w:ascii="Times New Roman" w:hAnsi="Times New Roman"/>
        </w:rPr>
        <w:t xml:space="preserve">likely that the precommitment intervention </w:t>
      </w:r>
      <w:r w:rsidR="00BE1EBA" w:rsidRPr="002208A3">
        <w:rPr>
          <w:rFonts w:ascii="Times New Roman" w:hAnsi="Times New Roman"/>
        </w:rPr>
        <w:t xml:space="preserve">seen in </w:t>
      </w:r>
      <w:r w:rsidR="00626544">
        <w:rPr>
          <w:rFonts w:ascii="Times New Roman" w:hAnsi="Times New Roman"/>
        </w:rPr>
        <w:t>Study 1</w:t>
      </w:r>
      <w:r w:rsidR="00B43278" w:rsidRPr="002208A3">
        <w:rPr>
          <w:rFonts w:ascii="Times New Roman" w:hAnsi="Times New Roman"/>
        </w:rPr>
        <w:t xml:space="preserve"> </w:t>
      </w:r>
      <w:r w:rsidR="00BE1EBA" w:rsidRPr="002208A3">
        <w:rPr>
          <w:rFonts w:ascii="Times New Roman" w:hAnsi="Times New Roman"/>
        </w:rPr>
        <w:t xml:space="preserve">also </w:t>
      </w:r>
      <w:r w:rsidR="003815EB" w:rsidRPr="002208A3">
        <w:rPr>
          <w:rFonts w:ascii="Times New Roman" w:hAnsi="Times New Roman"/>
        </w:rPr>
        <w:t>acted on participants</w:t>
      </w:r>
      <w:r w:rsidR="00592732">
        <w:rPr>
          <w:rFonts w:ascii="Times New Roman" w:hAnsi="Times New Roman"/>
        </w:rPr>
        <w:t>’</w:t>
      </w:r>
      <w:r w:rsidR="003815EB" w:rsidRPr="002208A3">
        <w:rPr>
          <w:rFonts w:ascii="Times New Roman" w:hAnsi="Times New Roman"/>
        </w:rPr>
        <w:t xml:space="preserve"> </w:t>
      </w:r>
      <w:r w:rsidR="00A35C01">
        <w:rPr>
          <w:rFonts w:ascii="Times New Roman" w:hAnsi="Times New Roman"/>
        </w:rPr>
        <w:t xml:space="preserve">weighting of the </w:t>
      </w:r>
      <w:r w:rsidR="00B64F8E">
        <w:rPr>
          <w:rFonts w:ascii="Times New Roman" w:hAnsi="Times New Roman"/>
        </w:rPr>
        <w:t xml:space="preserve">risky </w:t>
      </w:r>
      <w:r w:rsidR="00A35C01">
        <w:rPr>
          <w:rFonts w:ascii="Times New Roman" w:hAnsi="Times New Roman"/>
        </w:rPr>
        <w:t>large loss</w:t>
      </w:r>
      <w:r w:rsidR="003815EB" w:rsidRPr="002208A3">
        <w:rPr>
          <w:rFonts w:ascii="Times New Roman" w:hAnsi="Times New Roman"/>
        </w:rPr>
        <w:t xml:space="preserve">. </w:t>
      </w:r>
      <w:r w:rsidR="00795CFE" w:rsidRPr="002208A3">
        <w:rPr>
          <w:rFonts w:ascii="Times New Roman" w:hAnsi="Times New Roman"/>
        </w:rPr>
        <w:t>It is worth restating that both the repeated and precommitt</w:t>
      </w:r>
      <w:r w:rsidR="00421CE4">
        <w:rPr>
          <w:rFonts w:ascii="Times New Roman" w:hAnsi="Times New Roman"/>
        </w:rPr>
        <w:t>ed</w:t>
      </w:r>
      <w:r w:rsidR="00795CFE" w:rsidRPr="002208A3">
        <w:rPr>
          <w:rFonts w:ascii="Times New Roman" w:hAnsi="Times New Roman"/>
        </w:rPr>
        <w:t xml:space="preserve"> participants</w:t>
      </w:r>
      <w:r w:rsidR="00B64F8E">
        <w:rPr>
          <w:rFonts w:ascii="Times New Roman" w:hAnsi="Times New Roman"/>
        </w:rPr>
        <w:t xml:space="preserve"> in this solo game</w:t>
      </w:r>
      <w:r w:rsidR="00795CFE" w:rsidRPr="002208A3">
        <w:rPr>
          <w:rFonts w:ascii="Times New Roman" w:hAnsi="Times New Roman"/>
        </w:rPr>
        <w:t xml:space="preserve"> </w:t>
      </w:r>
      <w:r w:rsidR="00421CE4">
        <w:rPr>
          <w:rFonts w:ascii="Times New Roman" w:hAnsi="Times New Roman"/>
        </w:rPr>
        <w:t>k</w:t>
      </w:r>
      <w:r w:rsidR="00795CFE" w:rsidRPr="002208A3">
        <w:rPr>
          <w:rFonts w:ascii="Times New Roman" w:hAnsi="Times New Roman"/>
        </w:rPr>
        <w:t xml:space="preserve">new they would play 4 blocks of 20 rounds each -- the only difference was whether participants were forced to precommit their choices or not. Rationally, there should be no difference between the two </w:t>
      </w:r>
      <w:r w:rsidR="00626544">
        <w:rPr>
          <w:rFonts w:ascii="Times New Roman" w:hAnsi="Times New Roman"/>
        </w:rPr>
        <w:t xml:space="preserve">solo </w:t>
      </w:r>
      <w:r w:rsidR="00795CFE" w:rsidRPr="002208A3">
        <w:rPr>
          <w:rFonts w:ascii="Times New Roman" w:hAnsi="Times New Roman"/>
        </w:rPr>
        <w:t xml:space="preserve">conditions. </w:t>
      </w:r>
    </w:p>
    <w:p w14:paraId="13AA04D7" w14:textId="7AEC66F3" w:rsidR="009B47AE" w:rsidRPr="002208A3" w:rsidRDefault="00F51C22" w:rsidP="00AF2B85">
      <w:pPr>
        <w:spacing w:line="480" w:lineRule="auto"/>
        <w:rPr>
          <w:rFonts w:ascii="Times New Roman" w:hAnsi="Times New Roman"/>
        </w:rPr>
      </w:pPr>
      <w:r w:rsidRPr="002208A3">
        <w:rPr>
          <w:rFonts w:ascii="Times New Roman" w:hAnsi="Times New Roman"/>
        </w:rPr>
        <w:tab/>
        <w:t>Further</w:t>
      </w:r>
      <w:r w:rsidR="00A27FCD" w:rsidRPr="002208A3">
        <w:rPr>
          <w:rFonts w:ascii="Times New Roman" w:hAnsi="Times New Roman"/>
        </w:rPr>
        <w:t xml:space="preserve"> supporting the hypothesis that precommitment influences </w:t>
      </w:r>
      <w:r w:rsidR="008865AF">
        <w:rPr>
          <w:rFonts w:ascii="Times New Roman" w:hAnsi="Times New Roman"/>
        </w:rPr>
        <w:t>participants’ focus on single vs. multiple goals</w:t>
      </w:r>
      <w:r w:rsidR="00A27FCD" w:rsidRPr="002208A3">
        <w:rPr>
          <w:rFonts w:ascii="Times New Roman" w:hAnsi="Times New Roman"/>
        </w:rPr>
        <w:t xml:space="preserve">, we observed that those in the precommitment were </w:t>
      </w:r>
      <w:r w:rsidR="008865AF">
        <w:rPr>
          <w:rFonts w:ascii="Times New Roman" w:hAnsi="Times New Roman"/>
        </w:rPr>
        <w:t xml:space="preserve">considering multiple rounds and therefore, </w:t>
      </w:r>
      <w:r w:rsidR="00A27FCD" w:rsidRPr="002208A3">
        <w:rPr>
          <w:rFonts w:ascii="Times New Roman" w:hAnsi="Times New Roman"/>
        </w:rPr>
        <w:t>much less likely to mention a low probability of loss</w:t>
      </w:r>
      <w:r w:rsidR="001C1B01">
        <w:rPr>
          <w:rFonts w:ascii="Times New Roman" w:hAnsi="Times New Roman"/>
        </w:rPr>
        <w:t xml:space="preserve"> (</w:t>
      </w:r>
      <w:r w:rsidR="008865AF" w:rsidRPr="001C1B01">
        <w:rPr>
          <w:rFonts w:ascii="Times New Roman" w:hAnsi="Times New Roman"/>
        </w:rPr>
        <w:t>which would only be the case if one considers “one” round</w:t>
      </w:r>
      <w:r w:rsidR="001C1B01">
        <w:rPr>
          <w:rFonts w:ascii="Times New Roman" w:hAnsi="Times New Roman"/>
        </w:rPr>
        <w:t>)</w:t>
      </w:r>
      <w:r w:rsidR="00A27FCD" w:rsidRPr="002208A3">
        <w:rPr>
          <w:rFonts w:ascii="Times New Roman" w:hAnsi="Times New Roman"/>
        </w:rPr>
        <w:t xml:space="preserve">. </w:t>
      </w:r>
      <w:r w:rsidR="004D0C86">
        <w:rPr>
          <w:rFonts w:ascii="Times New Roman" w:hAnsi="Times New Roman"/>
        </w:rPr>
        <w:t>We believe that participants playing the repeated game typically considered each decision as a single choice between a certain loss (from investment) or a risk with the possibility of zero loss, and therefore showed risk-seeking behavior to avoid the loss, consistent with Prospect Theory. In contrast, we believe the precommitting participants often considered multiple rounds together</w:t>
      </w:r>
      <w:r w:rsidR="00F36963">
        <w:rPr>
          <w:rFonts w:ascii="Times New Roman" w:hAnsi="Times New Roman"/>
        </w:rPr>
        <w:t xml:space="preserve"> as a “broad bracket” (</w:t>
      </w:r>
      <w:r w:rsidR="004F76F9" w:rsidRPr="004F76F9">
        <w:rPr>
          <w:rFonts w:ascii="Times New Roman" w:hAnsi="Times New Roman"/>
        </w:rPr>
        <w:t>Read, Loewenstein, &amp; Rabin, 1999</w:t>
      </w:r>
      <w:r w:rsidR="00F36963">
        <w:rPr>
          <w:rFonts w:ascii="Times New Roman" w:hAnsi="Times New Roman"/>
        </w:rPr>
        <w:t>)</w:t>
      </w:r>
      <w:r w:rsidR="004D0C86">
        <w:rPr>
          <w:rFonts w:ascii="Times New Roman" w:hAnsi="Times New Roman"/>
        </w:rPr>
        <w:t xml:space="preserve">, </w:t>
      </w:r>
      <w:r w:rsidR="00FF6CD0">
        <w:rPr>
          <w:rFonts w:ascii="Times New Roman" w:hAnsi="Times New Roman"/>
        </w:rPr>
        <w:t>leading them to consider</w:t>
      </w:r>
      <w:r w:rsidR="004D0C86">
        <w:rPr>
          <w:rFonts w:ascii="Times New Roman" w:hAnsi="Times New Roman"/>
        </w:rPr>
        <w:t xml:space="preserve"> the cumulative risk of large loss, cumulative investment costs, cumulative income earnings</w:t>
      </w:r>
      <w:r w:rsidR="00F36963">
        <w:rPr>
          <w:rFonts w:ascii="Times New Roman" w:hAnsi="Times New Roman"/>
        </w:rPr>
        <w:t xml:space="preserve">, </w:t>
      </w:r>
      <w:r w:rsidR="00FF6CD0">
        <w:rPr>
          <w:rFonts w:ascii="Times New Roman" w:hAnsi="Times New Roman"/>
        </w:rPr>
        <w:t xml:space="preserve">and their net cumulative payout, </w:t>
      </w:r>
      <w:r w:rsidR="00D072EC">
        <w:rPr>
          <w:rFonts w:ascii="Times New Roman" w:hAnsi="Times New Roman"/>
        </w:rPr>
        <w:t xml:space="preserve">thus </w:t>
      </w:r>
      <w:r w:rsidR="00FF6CD0">
        <w:rPr>
          <w:rFonts w:ascii="Times New Roman" w:hAnsi="Times New Roman"/>
        </w:rPr>
        <w:t xml:space="preserve">1) focusing them more on expected value, which leads to investment in this context, and 2) </w:t>
      </w:r>
      <w:r w:rsidR="00D072EC">
        <w:rPr>
          <w:rFonts w:ascii="Times New Roman" w:hAnsi="Times New Roman"/>
        </w:rPr>
        <w:t>putting their mindset into the domain of gains, triggering risk averse preferences</w:t>
      </w:r>
      <w:r w:rsidR="00FF6CD0">
        <w:rPr>
          <w:rFonts w:ascii="Times New Roman" w:hAnsi="Times New Roman"/>
        </w:rPr>
        <w:t>.</w:t>
      </w:r>
      <w:r w:rsidR="00135D76">
        <w:rPr>
          <w:rFonts w:ascii="Times New Roman" w:hAnsi="Times New Roman"/>
        </w:rPr>
        <w:t xml:space="preserve"> This is consistent with earlier work on the framing of prospects (</w:t>
      </w:r>
      <w:proofErr w:type="spellStart"/>
      <w:r w:rsidR="00135D76" w:rsidRPr="00135D76">
        <w:rPr>
          <w:rFonts w:ascii="Times New Roman" w:hAnsi="Times New Roman"/>
        </w:rPr>
        <w:t>Redelmeier</w:t>
      </w:r>
      <w:proofErr w:type="spellEnd"/>
      <w:r w:rsidR="00135D76" w:rsidRPr="00135D76">
        <w:rPr>
          <w:rFonts w:ascii="Times New Roman" w:hAnsi="Times New Roman"/>
        </w:rPr>
        <w:t xml:space="preserve"> &amp; Tversky, 1992</w:t>
      </w:r>
      <w:r w:rsidR="00135D76">
        <w:rPr>
          <w:rFonts w:ascii="Times New Roman" w:hAnsi="Times New Roman"/>
        </w:rPr>
        <w:t xml:space="preserve">): the same person might </w:t>
      </w:r>
      <w:r w:rsidR="00135D76">
        <w:rPr>
          <w:rFonts w:ascii="Times New Roman" w:hAnsi="Times New Roman"/>
        </w:rPr>
        <w:lastRenderedPageBreak/>
        <w:t xml:space="preserve">make different decisions when making the same choice one by one (twenty times in a row) or twenty times all at once. </w:t>
      </w:r>
    </w:p>
    <w:p w14:paraId="7C88607A" w14:textId="6E025635" w:rsidR="00F7760F" w:rsidRPr="002208A3" w:rsidRDefault="00F7760F" w:rsidP="00AF2B85">
      <w:pPr>
        <w:spacing w:line="480" w:lineRule="auto"/>
        <w:rPr>
          <w:rFonts w:ascii="Times New Roman" w:hAnsi="Times New Roman"/>
        </w:rPr>
      </w:pPr>
      <w:r w:rsidRPr="002208A3">
        <w:rPr>
          <w:rFonts w:ascii="Times New Roman" w:hAnsi="Times New Roman"/>
        </w:rPr>
        <w:tab/>
      </w:r>
      <w:r w:rsidR="00395366">
        <w:rPr>
          <w:rFonts w:ascii="Times New Roman" w:hAnsi="Times New Roman"/>
        </w:rPr>
        <w:t>Next, w</w:t>
      </w:r>
      <w:r w:rsidR="008126B0" w:rsidRPr="002208A3">
        <w:rPr>
          <w:rFonts w:ascii="Times New Roman" w:hAnsi="Times New Roman"/>
        </w:rPr>
        <w:t xml:space="preserve">e ran Study </w:t>
      </w:r>
      <w:r w:rsidR="00FD0A5B">
        <w:rPr>
          <w:rFonts w:ascii="Times New Roman" w:hAnsi="Times New Roman"/>
        </w:rPr>
        <w:t xml:space="preserve">3 </w:t>
      </w:r>
      <w:r w:rsidR="008126B0" w:rsidRPr="002208A3">
        <w:rPr>
          <w:rFonts w:ascii="Times New Roman" w:hAnsi="Times New Roman"/>
        </w:rPr>
        <w:t xml:space="preserve">to explore the effects of precommitment in a </w:t>
      </w:r>
      <w:r w:rsidR="008126B0" w:rsidRPr="002208A3">
        <w:rPr>
          <w:rFonts w:ascii="Times New Roman" w:hAnsi="Times New Roman"/>
          <w:i/>
        </w:rPr>
        <w:t>deterministic</w:t>
      </w:r>
      <w:r w:rsidR="008126B0" w:rsidRPr="002208A3">
        <w:rPr>
          <w:rFonts w:ascii="Times New Roman" w:hAnsi="Times New Roman"/>
        </w:rPr>
        <w:t xml:space="preserve"> social dilemma</w:t>
      </w:r>
      <w:r w:rsidR="009A5EA6">
        <w:rPr>
          <w:rFonts w:ascii="Times New Roman" w:hAnsi="Times New Roman"/>
        </w:rPr>
        <w:t xml:space="preserve"> condition</w:t>
      </w:r>
      <w:r w:rsidR="008126B0" w:rsidRPr="002208A3">
        <w:rPr>
          <w:rFonts w:ascii="Times New Roman" w:hAnsi="Times New Roman"/>
        </w:rPr>
        <w:t xml:space="preserve">. </w:t>
      </w:r>
      <w:r w:rsidR="00811FBA" w:rsidRPr="002208A3">
        <w:rPr>
          <w:rFonts w:ascii="Times New Roman" w:hAnsi="Times New Roman"/>
        </w:rPr>
        <w:t>Because</w:t>
      </w:r>
      <w:r w:rsidR="004A7EC5" w:rsidRPr="002208A3">
        <w:rPr>
          <w:rFonts w:ascii="Times New Roman" w:hAnsi="Times New Roman"/>
        </w:rPr>
        <w:t xml:space="preserve"> </w:t>
      </w:r>
      <w:r w:rsidR="00AA2B88">
        <w:rPr>
          <w:rFonts w:ascii="Times New Roman" w:hAnsi="Times New Roman"/>
        </w:rPr>
        <w:t xml:space="preserve">binding </w:t>
      </w:r>
      <w:r w:rsidR="004A7EC5" w:rsidRPr="002208A3">
        <w:rPr>
          <w:rFonts w:ascii="Times New Roman" w:hAnsi="Times New Roman"/>
        </w:rPr>
        <w:t>precommitment precludes the chance for participants to dynamically interact with their counterpart, we hypothesized that it would reduce cooperation rates</w:t>
      </w:r>
      <w:r w:rsidR="000F1B31">
        <w:rPr>
          <w:rFonts w:ascii="Times New Roman" w:hAnsi="Times New Roman"/>
        </w:rPr>
        <w:t xml:space="preserve"> by </w:t>
      </w:r>
      <w:r w:rsidR="004A7EC5" w:rsidRPr="002208A3">
        <w:rPr>
          <w:rFonts w:ascii="Times New Roman" w:hAnsi="Times New Roman"/>
        </w:rPr>
        <w:t>transform</w:t>
      </w:r>
      <w:r w:rsidR="000F1B31">
        <w:rPr>
          <w:rFonts w:ascii="Times New Roman" w:hAnsi="Times New Roman"/>
        </w:rPr>
        <w:t>ing</w:t>
      </w:r>
      <w:r w:rsidR="004A7EC5" w:rsidRPr="002208A3">
        <w:rPr>
          <w:rFonts w:ascii="Times New Roman" w:hAnsi="Times New Roman"/>
        </w:rPr>
        <w:t xml:space="preserve"> the repeated game into a one-shot game. With no tit-for-tat incentives, participants would </w:t>
      </w:r>
      <w:r w:rsidR="00C115A0">
        <w:rPr>
          <w:rFonts w:ascii="Times New Roman" w:hAnsi="Times New Roman"/>
        </w:rPr>
        <w:t>cooperate less</w:t>
      </w:r>
      <w:r w:rsidR="004A7EC5" w:rsidRPr="002208A3">
        <w:rPr>
          <w:rFonts w:ascii="Times New Roman" w:hAnsi="Times New Roman"/>
        </w:rPr>
        <w:t xml:space="preserve"> often (similar to the end game rounds of a repeated game). </w:t>
      </w:r>
    </w:p>
    <w:p w14:paraId="16EA2740" w14:textId="77777777" w:rsidR="00B26E76" w:rsidRPr="002208A3" w:rsidRDefault="0090468A" w:rsidP="00AF2B85">
      <w:pPr>
        <w:spacing w:line="480" w:lineRule="auto"/>
        <w:rPr>
          <w:rFonts w:ascii="Times New Roman" w:hAnsi="Times New Roman"/>
        </w:rPr>
      </w:pPr>
      <w:r w:rsidRPr="002208A3">
        <w:rPr>
          <w:rFonts w:ascii="Times New Roman" w:hAnsi="Times New Roman"/>
        </w:rPr>
        <w:tab/>
      </w:r>
    </w:p>
    <w:p w14:paraId="2FF090B4" w14:textId="7777FD8A" w:rsidR="00B53B01" w:rsidRPr="002208A3" w:rsidRDefault="00B53B01" w:rsidP="00AF2B85">
      <w:pPr>
        <w:spacing w:line="480" w:lineRule="auto"/>
        <w:rPr>
          <w:rFonts w:ascii="Times New Roman" w:hAnsi="Times New Roman"/>
          <w:i/>
        </w:rPr>
      </w:pPr>
      <w:r w:rsidRPr="002208A3">
        <w:rPr>
          <w:rFonts w:ascii="Times New Roman" w:hAnsi="Times New Roman"/>
          <w:i/>
        </w:rPr>
        <w:t xml:space="preserve">Study </w:t>
      </w:r>
      <w:r w:rsidR="00FD0A5B">
        <w:rPr>
          <w:rFonts w:ascii="Times New Roman" w:hAnsi="Times New Roman"/>
          <w:i/>
        </w:rPr>
        <w:t>3</w:t>
      </w:r>
      <w:r w:rsidRPr="002208A3">
        <w:rPr>
          <w:rFonts w:ascii="Times New Roman" w:hAnsi="Times New Roman"/>
          <w:i/>
        </w:rPr>
        <w:t>: Participants and Design Overview</w:t>
      </w:r>
    </w:p>
    <w:p w14:paraId="3AEC03AF" w14:textId="6AB229D6" w:rsidR="00B53B01" w:rsidRPr="002208A3" w:rsidRDefault="00007FBE" w:rsidP="00AF2B85">
      <w:pPr>
        <w:spacing w:line="480" w:lineRule="auto"/>
        <w:rPr>
          <w:rFonts w:ascii="Times New Roman" w:hAnsi="Times New Roman"/>
        </w:rPr>
      </w:pPr>
      <w:r w:rsidRPr="002208A3">
        <w:rPr>
          <w:rFonts w:ascii="Times New Roman" w:hAnsi="Times New Roman"/>
        </w:rPr>
        <w:tab/>
      </w:r>
      <w:r w:rsidR="00D53E45" w:rsidRPr="002208A3">
        <w:rPr>
          <w:rFonts w:ascii="Times New Roman" w:hAnsi="Times New Roman"/>
        </w:rPr>
        <w:t xml:space="preserve">30 participants were recruited from the same pool as </w:t>
      </w:r>
      <w:r w:rsidR="00C022C2">
        <w:rPr>
          <w:rFonts w:ascii="Times New Roman" w:hAnsi="Times New Roman"/>
        </w:rPr>
        <w:t>Study 1</w:t>
      </w:r>
      <w:r w:rsidR="00D53E45" w:rsidRPr="002208A3">
        <w:rPr>
          <w:rFonts w:ascii="Times New Roman" w:hAnsi="Times New Roman"/>
        </w:rPr>
        <w:t xml:space="preserve"> and had similar demographics. </w:t>
      </w:r>
      <w:r w:rsidR="00632EC0" w:rsidRPr="002208A3">
        <w:rPr>
          <w:rFonts w:ascii="Times New Roman" w:hAnsi="Times New Roman"/>
        </w:rPr>
        <w:t>Only one condition was run: a deterministic prisoner's dilemma game with precommitted choices (DPD-pre). The results of this condition would then be compared with th</w:t>
      </w:r>
      <w:r w:rsidR="002710CD" w:rsidRPr="002208A3">
        <w:rPr>
          <w:rFonts w:ascii="Times New Roman" w:hAnsi="Times New Roman"/>
        </w:rPr>
        <w:t xml:space="preserve">e </w:t>
      </w:r>
      <w:r w:rsidR="00A57C75" w:rsidRPr="002208A3">
        <w:rPr>
          <w:rFonts w:ascii="Times New Roman" w:hAnsi="Times New Roman"/>
        </w:rPr>
        <w:t xml:space="preserve">existing </w:t>
      </w:r>
      <w:r w:rsidR="002710CD" w:rsidRPr="002208A3">
        <w:rPr>
          <w:rFonts w:ascii="Times New Roman" w:hAnsi="Times New Roman"/>
        </w:rPr>
        <w:t>DPD-rep results from Study 1.</w:t>
      </w:r>
      <w:r w:rsidR="007A003B">
        <w:rPr>
          <w:rFonts w:ascii="Times New Roman" w:hAnsi="Times New Roman"/>
        </w:rPr>
        <w:t xml:space="preserve"> (</w:t>
      </w:r>
      <w:r w:rsidR="007A003B" w:rsidRPr="00C15F70">
        <w:rPr>
          <w:rFonts w:ascii="Times New Roman" w:hAnsi="Times New Roman"/>
        </w:rPr>
        <w:t xml:space="preserve">This seemed like a more efficient use of time and resources than running yet another standard </w:t>
      </w:r>
      <w:r w:rsidR="00AA2B88" w:rsidRPr="00C15F70">
        <w:rPr>
          <w:rFonts w:ascii="Times New Roman" w:hAnsi="Times New Roman"/>
        </w:rPr>
        <w:t>prisoner</w:t>
      </w:r>
      <w:r w:rsidR="00AA2B88">
        <w:rPr>
          <w:rFonts w:ascii="Times New Roman" w:hAnsi="Times New Roman"/>
        </w:rPr>
        <w:t>’</w:t>
      </w:r>
      <w:r w:rsidR="00AA2B88" w:rsidRPr="00C15F70">
        <w:rPr>
          <w:rFonts w:ascii="Times New Roman" w:hAnsi="Times New Roman"/>
        </w:rPr>
        <w:t xml:space="preserve">s </w:t>
      </w:r>
      <w:r w:rsidR="007A003B" w:rsidRPr="00C15F70">
        <w:rPr>
          <w:rFonts w:ascii="Times New Roman" w:hAnsi="Times New Roman"/>
        </w:rPr>
        <w:t>dilemma</w:t>
      </w:r>
      <w:r w:rsidR="007A003B">
        <w:t>.)</w:t>
      </w:r>
    </w:p>
    <w:p w14:paraId="0B56368E" w14:textId="77777777" w:rsidR="00D53E45" w:rsidRPr="002208A3" w:rsidRDefault="00D53E45" w:rsidP="00AF2B85">
      <w:pPr>
        <w:spacing w:line="480" w:lineRule="auto"/>
        <w:rPr>
          <w:rFonts w:ascii="Times New Roman" w:hAnsi="Times New Roman"/>
        </w:rPr>
      </w:pPr>
    </w:p>
    <w:p w14:paraId="0577A13C" w14:textId="1890B960" w:rsidR="00B53B01" w:rsidRPr="002208A3" w:rsidRDefault="00B53B01" w:rsidP="00AF2B85">
      <w:pPr>
        <w:spacing w:line="480" w:lineRule="auto"/>
        <w:rPr>
          <w:rFonts w:ascii="Times New Roman" w:hAnsi="Times New Roman"/>
          <w:i/>
        </w:rPr>
      </w:pPr>
      <w:r w:rsidRPr="002208A3">
        <w:rPr>
          <w:rFonts w:ascii="Times New Roman" w:hAnsi="Times New Roman"/>
          <w:i/>
        </w:rPr>
        <w:t xml:space="preserve">Study </w:t>
      </w:r>
      <w:r w:rsidR="001C4FCC">
        <w:rPr>
          <w:rFonts w:ascii="Times New Roman" w:hAnsi="Times New Roman"/>
          <w:i/>
        </w:rPr>
        <w:t>3</w:t>
      </w:r>
      <w:r w:rsidRPr="002208A3">
        <w:rPr>
          <w:rFonts w:ascii="Times New Roman" w:hAnsi="Times New Roman"/>
          <w:i/>
        </w:rPr>
        <w:t>: Methods</w:t>
      </w:r>
    </w:p>
    <w:p w14:paraId="59711E63" w14:textId="20A6177F" w:rsidR="00B53B01" w:rsidRPr="002208A3" w:rsidRDefault="00007FBE" w:rsidP="00AF2B85">
      <w:pPr>
        <w:spacing w:line="480" w:lineRule="auto"/>
        <w:rPr>
          <w:rFonts w:ascii="Times New Roman" w:hAnsi="Times New Roman"/>
        </w:rPr>
      </w:pPr>
      <w:r w:rsidRPr="002208A3">
        <w:rPr>
          <w:rFonts w:ascii="Times New Roman" w:hAnsi="Times New Roman"/>
        </w:rPr>
        <w:tab/>
      </w:r>
      <w:r w:rsidR="00FD5F3A" w:rsidRPr="002208A3">
        <w:rPr>
          <w:rFonts w:ascii="Times New Roman" w:hAnsi="Times New Roman"/>
        </w:rPr>
        <w:t xml:space="preserve">The procedure was identical to the DPD-rep condition in Study 1, except that participants precommitted their choices. </w:t>
      </w:r>
      <w:r w:rsidR="005B46CF" w:rsidRPr="002208A3">
        <w:rPr>
          <w:rFonts w:ascii="Times New Roman" w:hAnsi="Times New Roman"/>
        </w:rPr>
        <w:t>Thus</w:t>
      </w:r>
      <w:r w:rsidR="0089736B">
        <w:rPr>
          <w:rFonts w:ascii="Times New Roman" w:hAnsi="Times New Roman"/>
        </w:rPr>
        <w:t>,</w:t>
      </w:r>
      <w:r w:rsidR="005B46CF" w:rsidRPr="002208A3">
        <w:rPr>
          <w:rFonts w:ascii="Times New Roman" w:hAnsi="Times New Roman"/>
        </w:rPr>
        <w:t xml:space="preserve"> there was only one condition</w:t>
      </w:r>
      <w:r w:rsidR="00C15F70">
        <w:rPr>
          <w:rFonts w:ascii="Times New Roman" w:hAnsi="Times New Roman"/>
        </w:rPr>
        <w:t xml:space="preserve"> and</w:t>
      </w:r>
      <w:r w:rsidR="00AA6E13" w:rsidRPr="002208A3">
        <w:rPr>
          <w:rFonts w:ascii="Times New Roman" w:hAnsi="Times New Roman"/>
        </w:rPr>
        <w:t xml:space="preserve"> </w:t>
      </w:r>
      <w:r w:rsidR="005B46CF" w:rsidRPr="002208A3">
        <w:rPr>
          <w:rFonts w:ascii="Times New Roman" w:hAnsi="Times New Roman"/>
        </w:rPr>
        <w:t>we compared the results with the DPD-rep results from Study 1.</w:t>
      </w:r>
    </w:p>
    <w:p w14:paraId="63A7A084" w14:textId="77777777" w:rsidR="00FD5F3A" w:rsidRPr="002208A3" w:rsidRDefault="00FD5F3A" w:rsidP="00AF2B85">
      <w:pPr>
        <w:spacing w:line="480" w:lineRule="auto"/>
        <w:rPr>
          <w:rFonts w:ascii="Times New Roman" w:hAnsi="Times New Roman"/>
        </w:rPr>
      </w:pPr>
    </w:p>
    <w:p w14:paraId="30C5DF04" w14:textId="03246043" w:rsidR="009B47AE" w:rsidRPr="002208A3" w:rsidRDefault="009B47AE" w:rsidP="00AF2B85">
      <w:pPr>
        <w:spacing w:line="480" w:lineRule="auto"/>
        <w:rPr>
          <w:rFonts w:ascii="Times New Roman" w:hAnsi="Times New Roman"/>
          <w:i/>
        </w:rPr>
      </w:pPr>
      <w:r w:rsidRPr="002208A3">
        <w:rPr>
          <w:rFonts w:ascii="Times New Roman" w:hAnsi="Times New Roman"/>
          <w:i/>
        </w:rPr>
        <w:t xml:space="preserve">Study </w:t>
      </w:r>
      <w:r w:rsidR="001C4FCC">
        <w:rPr>
          <w:rFonts w:ascii="Times New Roman" w:hAnsi="Times New Roman"/>
          <w:i/>
        </w:rPr>
        <w:t>3</w:t>
      </w:r>
      <w:r w:rsidRPr="002208A3">
        <w:rPr>
          <w:rFonts w:ascii="Times New Roman" w:hAnsi="Times New Roman"/>
          <w:i/>
        </w:rPr>
        <w:t>: Results</w:t>
      </w:r>
    </w:p>
    <w:p w14:paraId="320967FB" w14:textId="614853E4" w:rsidR="009B47AE" w:rsidRPr="002208A3" w:rsidRDefault="00F65556" w:rsidP="00811AF0">
      <w:pPr>
        <w:spacing w:line="480" w:lineRule="auto"/>
        <w:rPr>
          <w:rFonts w:ascii="Times New Roman" w:hAnsi="Times New Roman"/>
        </w:rPr>
      </w:pPr>
      <w:r w:rsidRPr="002208A3">
        <w:rPr>
          <w:rFonts w:ascii="Times New Roman" w:hAnsi="Times New Roman"/>
        </w:rPr>
        <w:lastRenderedPageBreak/>
        <w:tab/>
        <w:t xml:space="preserve">As seen in Figure </w:t>
      </w:r>
      <w:r w:rsidR="006829C1">
        <w:rPr>
          <w:rFonts w:ascii="Times New Roman" w:hAnsi="Times New Roman"/>
        </w:rPr>
        <w:t>7</w:t>
      </w:r>
      <w:r w:rsidRPr="002208A3">
        <w:rPr>
          <w:rFonts w:ascii="Times New Roman" w:hAnsi="Times New Roman"/>
        </w:rPr>
        <w:t xml:space="preserve">, investment rates in the precommitted, deterministic </w:t>
      </w:r>
      <w:r w:rsidR="00AA2B88" w:rsidRPr="002208A3">
        <w:rPr>
          <w:rFonts w:ascii="Times New Roman" w:hAnsi="Times New Roman"/>
        </w:rPr>
        <w:t>prisoner</w:t>
      </w:r>
      <w:r w:rsidR="00AA2B88">
        <w:rPr>
          <w:rFonts w:ascii="Times New Roman" w:hAnsi="Times New Roman"/>
        </w:rPr>
        <w:t>’</w:t>
      </w:r>
      <w:r w:rsidR="00AA2B88" w:rsidRPr="002208A3">
        <w:rPr>
          <w:rFonts w:ascii="Times New Roman" w:hAnsi="Times New Roman"/>
        </w:rPr>
        <w:t xml:space="preserve">s </w:t>
      </w:r>
      <w:r w:rsidRPr="002208A3">
        <w:rPr>
          <w:rFonts w:ascii="Times New Roman" w:hAnsi="Times New Roman"/>
        </w:rPr>
        <w:t xml:space="preserve">dilemma </w:t>
      </w:r>
      <w:r w:rsidR="00AB3A15" w:rsidRPr="002208A3">
        <w:rPr>
          <w:rFonts w:ascii="Times New Roman" w:hAnsi="Times New Roman"/>
        </w:rPr>
        <w:t xml:space="preserve">(DPD-pre) </w:t>
      </w:r>
      <w:r w:rsidRPr="002208A3">
        <w:rPr>
          <w:rFonts w:ascii="Times New Roman" w:hAnsi="Times New Roman"/>
        </w:rPr>
        <w:t xml:space="preserve">started out high </w:t>
      </w:r>
      <w:r w:rsidR="002E2D85" w:rsidRPr="002208A3">
        <w:rPr>
          <w:rFonts w:ascii="Times New Roman" w:hAnsi="Times New Roman"/>
        </w:rPr>
        <w:t xml:space="preserve">(at 63%) </w:t>
      </w:r>
      <w:r w:rsidRPr="002208A3">
        <w:rPr>
          <w:rFonts w:ascii="Times New Roman" w:hAnsi="Times New Roman"/>
        </w:rPr>
        <w:t>but dropped rapidly over the four trial blocks</w:t>
      </w:r>
      <w:r w:rsidR="002E2D85" w:rsidRPr="002208A3">
        <w:rPr>
          <w:rFonts w:ascii="Times New Roman" w:hAnsi="Times New Roman"/>
        </w:rPr>
        <w:t xml:space="preserve"> (to 29%)</w:t>
      </w:r>
      <w:r w:rsidRPr="002208A3">
        <w:rPr>
          <w:rFonts w:ascii="Times New Roman" w:hAnsi="Times New Roman"/>
        </w:rPr>
        <w:t xml:space="preserve">. </w:t>
      </w:r>
      <w:r w:rsidR="00AB3A15" w:rsidRPr="002208A3">
        <w:rPr>
          <w:rFonts w:ascii="Times New Roman" w:hAnsi="Times New Roman"/>
        </w:rPr>
        <w:t>Thus, while inve</w:t>
      </w:r>
      <w:r w:rsidR="00DC5C8E" w:rsidRPr="002208A3">
        <w:rPr>
          <w:rFonts w:ascii="Times New Roman" w:hAnsi="Times New Roman"/>
        </w:rPr>
        <w:t xml:space="preserve">stment rates in the first block were equivalent to the DPD-rep data from Study 1, they diverged over time. </w:t>
      </w:r>
      <w:r w:rsidR="00DD167B">
        <w:rPr>
          <w:rFonts w:ascii="Times New Roman" w:hAnsi="Times New Roman"/>
        </w:rPr>
        <w:t>A logistic mixed model, predicting cooperation choices using fixed effects of condition (repeated vs precommitted), block number</w:t>
      </w:r>
      <w:r w:rsidR="00CB3DC0">
        <w:rPr>
          <w:rFonts w:ascii="Times New Roman" w:hAnsi="Times New Roman"/>
        </w:rPr>
        <w:t xml:space="preserve"> (mean centered)</w:t>
      </w:r>
      <w:r w:rsidR="00DD167B">
        <w:rPr>
          <w:rFonts w:ascii="Times New Roman" w:hAnsi="Times New Roman"/>
        </w:rPr>
        <w:t>, and their interaction, plus random effects of participant ID and partner ID. This confirmed a</w:t>
      </w:r>
      <w:r w:rsidR="00946AF2" w:rsidRPr="002208A3">
        <w:rPr>
          <w:rFonts w:ascii="Times New Roman" w:hAnsi="Times New Roman"/>
        </w:rPr>
        <w:t xml:space="preserve"> main effect of precommitment, </w:t>
      </w:r>
      <w:r w:rsidR="00DD167B" w:rsidRPr="00DD167B">
        <w:rPr>
          <w:rFonts w:ascii="Times New Roman" w:hAnsi="Times New Roman"/>
        </w:rPr>
        <w:t>B=</w:t>
      </w:r>
      <w:r w:rsidR="003744AB">
        <w:rPr>
          <w:rFonts w:ascii="Times New Roman" w:hAnsi="Times New Roman"/>
        </w:rPr>
        <w:t>2.76</w:t>
      </w:r>
      <w:r w:rsidR="00DD167B" w:rsidRPr="00DD167B">
        <w:rPr>
          <w:rFonts w:ascii="Times New Roman" w:hAnsi="Times New Roman"/>
        </w:rPr>
        <w:t>, SE=</w:t>
      </w:r>
      <w:r w:rsidR="003744AB">
        <w:rPr>
          <w:rFonts w:ascii="Times New Roman" w:hAnsi="Times New Roman"/>
        </w:rPr>
        <w:t>0.60</w:t>
      </w:r>
      <w:r w:rsidR="00DD167B" w:rsidRPr="00DD167B">
        <w:rPr>
          <w:rFonts w:ascii="Times New Roman" w:hAnsi="Times New Roman"/>
        </w:rPr>
        <w:t>, p</w:t>
      </w:r>
      <w:r w:rsidR="003744AB">
        <w:rPr>
          <w:rFonts w:ascii="Times New Roman" w:hAnsi="Times New Roman"/>
        </w:rPr>
        <w:t>&lt;.001</w:t>
      </w:r>
      <w:r w:rsidR="00DD167B" w:rsidRPr="00DD167B">
        <w:rPr>
          <w:rFonts w:ascii="Times New Roman" w:hAnsi="Times New Roman"/>
        </w:rPr>
        <w:t>, OR=</w:t>
      </w:r>
      <w:r w:rsidR="003744AB">
        <w:rPr>
          <w:rFonts w:ascii="Times New Roman" w:hAnsi="Times New Roman"/>
        </w:rPr>
        <w:t>4.60</w:t>
      </w:r>
      <w:r w:rsidR="00946AF2" w:rsidRPr="002208A3">
        <w:rPr>
          <w:rFonts w:ascii="Times New Roman" w:hAnsi="Times New Roman"/>
        </w:rPr>
        <w:t xml:space="preserve">, </w:t>
      </w:r>
      <w:r w:rsidR="00943CEF">
        <w:rPr>
          <w:rFonts w:ascii="Times New Roman" w:hAnsi="Times New Roman"/>
        </w:rPr>
        <w:t>supporting</w:t>
      </w:r>
      <w:r w:rsidR="00AA2B88">
        <w:rPr>
          <w:rFonts w:ascii="Times New Roman" w:hAnsi="Times New Roman"/>
        </w:rPr>
        <w:t xml:space="preserve"> H3</w:t>
      </w:r>
      <w:r w:rsidR="00946AF2" w:rsidRPr="002208A3">
        <w:rPr>
          <w:rFonts w:ascii="Times New Roman" w:hAnsi="Times New Roman"/>
        </w:rPr>
        <w:t xml:space="preserve">. </w:t>
      </w:r>
      <w:r w:rsidR="00811AF0">
        <w:rPr>
          <w:rFonts w:ascii="Times New Roman" w:hAnsi="Times New Roman"/>
        </w:rPr>
        <w:t xml:space="preserve">In addition, a significant effect of block number, </w:t>
      </w:r>
      <w:r w:rsidR="00811AF0" w:rsidRPr="00811AF0">
        <w:rPr>
          <w:rFonts w:ascii="Times New Roman" w:hAnsi="Times New Roman"/>
        </w:rPr>
        <w:t>B=</w:t>
      </w:r>
      <w:r w:rsidR="00DE729A">
        <w:rPr>
          <w:rFonts w:ascii="Times New Roman" w:hAnsi="Times New Roman"/>
        </w:rPr>
        <w:t>0.31</w:t>
      </w:r>
      <w:r w:rsidR="00811AF0" w:rsidRPr="00811AF0">
        <w:rPr>
          <w:rFonts w:ascii="Times New Roman" w:hAnsi="Times New Roman"/>
        </w:rPr>
        <w:t>, SE=</w:t>
      </w:r>
      <w:r w:rsidR="00DE729A">
        <w:rPr>
          <w:rFonts w:ascii="Times New Roman" w:hAnsi="Times New Roman"/>
        </w:rPr>
        <w:t>0.06</w:t>
      </w:r>
      <w:r w:rsidR="00811AF0" w:rsidRPr="00811AF0">
        <w:rPr>
          <w:rFonts w:ascii="Times New Roman" w:hAnsi="Times New Roman"/>
        </w:rPr>
        <w:t>, p</w:t>
      </w:r>
      <w:r w:rsidR="00DE729A">
        <w:rPr>
          <w:rFonts w:ascii="Times New Roman" w:hAnsi="Times New Roman"/>
        </w:rPr>
        <w:t>&lt;.001</w:t>
      </w:r>
      <w:r w:rsidR="00811AF0" w:rsidRPr="00811AF0">
        <w:rPr>
          <w:rFonts w:ascii="Times New Roman" w:hAnsi="Times New Roman"/>
        </w:rPr>
        <w:t>, OR=</w:t>
      </w:r>
      <w:r w:rsidR="00DE729A">
        <w:rPr>
          <w:rFonts w:ascii="Times New Roman" w:hAnsi="Times New Roman"/>
        </w:rPr>
        <w:t>5.21</w:t>
      </w:r>
      <w:r w:rsidR="00811AF0">
        <w:rPr>
          <w:rFonts w:ascii="Times New Roman" w:hAnsi="Times New Roman"/>
        </w:rPr>
        <w:t xml:space="preserve">, </w:t>
      </w:r>
      <w:r w:rsidR="00346B99">
        <w:rPr>
          <w:rFonts w:ascii="Times New Roman" w:hAnsi="Times New Roman"/>
        </w:rPr>
        <w:t xml:space="preserve">reflected the fact that cooperation rates trended down over time overall. This was qualified by </w:t>
      </w:r>
      <w:r w:rsidR="00811AF0">
        <w:rPr>
          <w:rFonts w:ascii="Times New Roman" w:hAnsi="Times New Roman"/>
        </w:rPr>
        <w:t xml:space="preserve">a block by condition interaction, </w:t>
      </w:r>
      <w:r w:rsidR="00811AF0" w:rsidRPr="00811AF0">
        <w:rPr>
          <w:rFonts w:ascii="Times New Roman" w:hAnsi="Times New Roman"/>
        </w:rPr>
        <w:t>B=</w:t>
      </w:r>
      <w:r w:rsidR="00DE729A">
        <w:rPr>
          <w:rFonts w:ascii="Times New Roman" w:hAnsi="Times New Roman"/>
        </w:rPr>
        <w:t>1.10</w:t>
      </w:r>
      <w:r w:rsidR="00811AF0" w:rsidRPr="00811AF0">
        <w:rPr>
          <w:rFonts w:ascii="Times New Roman" w:hAnsi="Times New Roman"/>
        </w:rPr>
        <w:t>, SE=</w:t>
      </w:r>
      <w:r w:rsidR="00DE729A">
        <w:rPr>
          <w:rFonts w:ascii="Times New Roman" w:hAnsi="Times New Roman"/>
        </w:rPr>
        <w:t>0.08</w:t>
      </w:r>
      <w:r w:rsidR="00811AF0" w:rsidRPr="00811AF0">
        <w:rPr>
          <w:rFonts w:ascii="Times New Roman" w:hAnsi="Times New Roman"/>
        </w:rPr>
        <w:t>, p</w:t>
      </w:r>
      <w:r w:rsidR="00DE729A">
        <w:rPr>
          <w:rFonts w:ascii="Times New Roman" w:hAnsi="Times New Roman"/>
        </w:rPr>
        <w:t>&lt;.001</w:t>
      </w:r>
      <w:r w:rsidR="00811AF0" w:rsidRPr="00811AF0">
        <w:rPr>
          <w:rFonts w:ascii="Times New Roman" w:hAnsi="Times New Roman"/>
        </w:rPr>
        <w:t>, OR=</w:t>
      </w:r>
      <w:r w:rsidR="00DE729A">
        <w:rPr>
          <w:rFonts w:ascii="Times New Roman" w:hAnsi="Times New Roman"/>
        </w:rPr>
        <w:t>13.20</w:t>
      </w:r>
      <w:r w:rsidR="00811AF0">
        <w:rPr>
          <w:rFonts w:ascii="Times New Roman" w:hAnsi="Times New Roman"/>
        </w:rPr>
        <w:t xml:space="preserve">, </w:t>
      </w:r>
      <w:r w:rsidR="00346B99">
        <w:rPr>
          <w:rFonts w:ascii="Times New Roman" w:hAnsi="Times New Roman"/>
        </w:rPr>
        <w:t xml:space="preserve">reflecting the trend that the repeated and precommitted conditions started out very close in block 1 and then diverged over time as the precommitted condition trended sharply downward. </w:t>
      </w:r>
    </w:p>
    <w:p w14:paraId="0E03CBA6" w14:textId="2C1A83EF" w:rsidR="00603CA7" w:rsidRPr="002208A3" w:rsidRDefault="00603CA7" w:rsidP="00AF2B85">
      <w:pPr>
        <w:spacing w:line="480" w:lineRule="auto"/>
        <w:rPr>
          <w:rFonts w:ascii="Times New Roman" w:hAnsi="Times New Roman"/>
          <w:i/>
        </w:rPr>
      </w:pPr>
      <w:r w:rsidRPr="002208A3">
        <w:rPr>
          <w:rFonts w:ascii="Times New Roman" w:hAnsi="Times New Roman"/>
          <w:i/>
        </w:rPr>
        <w:t xml:space="preserve">Figure </w:t>
      </w:r>
      <w:r w:rsidR="006829C1">
        <w:rPr>
          <w:rFonts w:ascii="Times New Roman" w:hAnsi="Times New Roman"/>
          <w:i/>
        </w:rPr>
        <w:t>7</w:t>
      </w:r>
      <w:r w:rsidRPr="002208A3">
        <w:rPr>
          <w:rFonts w:ascii="Times New Roman" w:hAnsi="Times New Roman"/>
          <w:i/>
        </w:rPr>
        <w:t xml:space="preserve">: Mean investment proportion in the precommitted deterministic prisoner's dilemma (DPD-pre) condition in Study </w:t>
      </w:r>
      <w:r w:rsidR="00F22135">
        <w:rPr>
          <w:rFonts w:ascii="Times New Roman" w:hAnsi="Times New Roman"/>
          <w:i/>
        </w:rPr>
        <w:t>3</w:t>
      </w:r>
      <w:r w:rsidRPr="002208A3">
        <w:rPr>
          <w:rFonts w:ascii="Times New Roman" w:hAnsi="Times New Roman"/>
          <w:i/>
        </w:rPr>
        <w:t xml:space="preserve">, as compared with the repeated deterministic prisoner's dilemma (DPD-rep) data from Study 1. </w:t>
      </w:r>
    </w:p>
    <w:p w14:paraId="42A84C56" w14:textId="679B022B" w:rsidR="002C0793" w:rsidRPr="002208A3" w:rsidRDefault="00336029" w:rsidP="00AF2B85">
      <w:pPr>
        <w:spacing w:line="480" w:lineRule="auto"/>
        <w:rPr>
          <w:rFonts w:ascii="Times New Roman" w:hAnsi="Times New Roman"/>
        </w:rPr>
      </w:pPr>
      <w:r>
        <w:rPr>
          <w:rFonts w:ascii="Times New Roman" w:hAnsi="Times New Roman"/>
          <w:noProof/>
        </w:rPr>
        <w:lastRenderedPageBreak/>
        <w:drawing>
          <wp:inline distT="0" distB="0" distL="0" distR="0" wp14:anchorId="72838BD6" wp14:editId="496DA7B9">
            <wp:extent cx="5716988" cy="3893794"/>
            <wp:effectExtent l="0" t="0" r="0" b="0"/>
            <wp:docPr id="21371049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3028" cy="3897908"/>
                    </a:xfrm>
                    <a:prstGeom prst="rect">
                      <a:avLst/>
                    </a:prstGeom>
                    <a:noFill/>
                  </pic:spPr>
                </pic:pic>
              </a:graphicData>
            </a:graphic>
          </wp:inline>
        </w:drawing>
      </w:r>
    </w:p>
    <w:p w14:paraId="4D855F73" w14:textId="1044396D" w:rsidR="009B47AE" w:rsidRPr="002208A3" w:rsidRDefault="009B47AE" w:rsidP="00AF2B85">
      <w:pPr>
        <w:spacing w:line="480" w:lineRule="auto"/>
        <w:rPr>
          <w:rFonts w:ascii="Times New Roman" w:hAnsi="Times New Roman"/>
          <w:i/>
        </w:rPr>
      </w:pPr>
      <w:r w:rsidRPr="002208A3">
        <w:rPr>
          <w:rFonts w:ascii="Times New Roman" w:hAnsi="Times New Roman"/>
          <w:i/>
        </w:rPr>
        <w:t xml:space="preserve">Study </w:t>
      </w:r>
      <w:r w:rsidR="001C4FCC">
        <w:rPr>
          <w:rFonts w:ascii="Times New Roman" w:hAnsi="Times New Roman"/>
          <w:i/>
        </w:rPr>
        <w:t>3</w:t>
      </w:r>
      <w:r w:rsidRPr="002208A3">
        <w:rPr>
          <w:rFonts w:ascii="Times New Roman" w:hAnsi="Times New Roman"/>
          <w:i/>
        </w:rPr>
        <w:t>: Discussion</w:t>
      </w:r>
    </w:p>
    <w:p w14:paraId="10ABA150" w14:textId="2EC7296C" w:rsidR="00CE36AA" w:rsidRPr="002208A3" w:rsidRDefault="00F9314D" w:rsidP="00AF2B85">
      <w:pPr>
        <w:spacing w:line="480" w:lineRule="auto"/>
        <w:rPr>
          <w:rFonts w:ascii="Times New Roman" w:hAnsi="Times New Roman"/>
        </w:rPr>
      </w:pPr>
      <w:r w:rsidRPr="002208A3">
        <w:rPr>
          <w:rFonts w:ascii="Times New Roman" w:hAnsi="Times New Roman"/>
        </w:rPr>
        <w:tab/>
        <w:t xml:space="preserve">Strikingly, precommitment initially has </w:t>
      </w:r>
      <w:r w:rsidR="00AA2B88">
        <w:rPr>
          <w:rFonts w:ascii="Times New Roman" w:hAnsi="Times New Roman"/>
        </w:rPr>
        <w:t xml:space="preserve">almost </w:t>
      </w:r>
      <w:r w:rsidRPr="002208A3">
        <w:rPr>
          <w:rFonts w:ascii="Times New Roman" w:hAnsi="Times New Roman"/>
        </w:rPr>
        <w:t xml:space="preserve">no effect on investment/cooperation in a </w:t>
      </w:r>
      <w:r w:rsidR="00810C40">
        <w:rPr>
          <w:rFonts w:ascii="Times New Roman" w:hAnsi="Times New Roman"/>
        </w:rPr>
        <w:t xml:space="preserve">deterministic </w:t>
      </w:r>
      <w:r w:rsidR="003B5596" w:rsidRPr="002208A3">
        <w:rPr>
          <w:rFonts w:ascii="Times New Roman" w:hAnsi="Times New Roman"/>
        </w:rPr>
        <w:t>prisoner’s</w:t>
      </w:r>
      <w:r w:rsidRPr="002208A3">
        <w:rPr>
          <w:rFonts w:ascii="Times New Roman" w:hAnsi="Times New Roman"/>
        </w:rPr>
        <w:t xml:space="preserve"> dilemma, but with repeated plays it rapidly decreases investment. </w:t>
      </w:r>
      <w:r w:rsidR="00E839EA" w:rsidRPr="002208A3">
        <w:rPr>
          <w:rFonts w:ascii="Times New Roman" w:hAnsi="Times New Roman"/>
        </w:rPr>
        <w:t xml:space="preserve">Why does this happen? </w:t>
      </w:r>
      <w:r w:rsidR="002C0793" w:rsidRPr="002208A3">
        <w:rPr>
          <w:rFonts w:ascii="Times New Roman" w:hAnsi="Times New Roman"/>
        </w:rPr>
        <w:t>One possibility is learning effects.</w:t>
      </w:r>
      <w:r w:rsidR="00943CEF">
        <w:rPr>
          <w:rFonts w:ascii="Times New Roman" w:hAnsi="Times New Roman"/>
        </w:rPr>
        <w:t xml:space="preserve"> </w:t>
      </w:r>
      <w:r w:rsidR="006237AA">
        <w:rPr>
          <w:rFonts w:ascii="Times New Roman" w:hAnsi="Times New Roman"/>
        </w:rPr>
        <w:t xml:space="preserve">While </w:t>
      </w:r>
      <w:r w:rsidR="00AC4C73">
        <w:rPr>
          <w:rFonts w:ascii="Times New Roman" w:hAnsi="Times New Roman"/>
        </w:rPr>
        <w:t xml:space="preserve">all </w:t>
      </w:r>
      <w:r w:rsidR="00943CEF">
        <w:rPr>
          <w:rFonts w:ascii="Times New Roman" w:hAnsi="Times New Roman"/>
        </w:rPr>
        <w:t>participants are tested on the rules of the game, and they initially “play nice” 60%-70% of the time, they do not</w:t>
      </w:r>
      <w:r w:rsidR="002C0793" w:rsidRPr="002208A3">
        <w:rPr>
          <w:rFonts w:ascii="Times New Roman" w:hAnsi="Times New Roman"/>
        </w:rPr>
        <w:t xml:space="preserve"> </w:t>
      </w:r>
      <w:r w:rsidR="00943CEF">
        <w:rPr>
          <w:rFonts w:ascii="Times New Roman" w:hAnsi="Times New Roman"/>
        </w:rPr>
        <w:t xml:space="preserve">know how their counterparts will behave. </w:t>
      </w:r>
      <w:r w:rsidR="00AC4C73">
        <w:rPr>
          <w:rFonts w:ascii="Times New Roman" w:hAnsi="Times New Roman"/>
        </w:rPr>
        <w:t>Subsequently, t</w:t>
      </w:r>
      <w:r w:rsidR="00943CEF">
        <w:rPr>
          <w:rFonts w:ascii="Times New Roman" w:hAnsi="Times New Roman"/>
        </w:rPr>
        <w:t>hose in the repeated condition learn that their choices influence their counterpart</w:t>
      </w:r>
      <w:r w:rsidR="00AC4C73">
        <w:rPr>
          <w:rFonts w:ascii="Times New Roman" w:hAnsi="Times New Roman"/>
        </w:rPr>
        <w:t xml:space="preserve"> (with “tit for tat” variations being a common strategies)</w:t>
      </w:r>
      <w:r w:rsidR="00943CEF">
        <w:rPr>
          <w:rFonts w:ascii="Times New Roman" w:hAnsi="Times New Roman"/>
        </w:rPr>
        <w:t>, leading to increasing cooperation over time</w:t>
      </w:r>
      <w:r w:rsidR="00AC4C73">
        <w:rPr>
          <w:rFonts w:ascii="Times New Roman" w:hAnsi="Times New Roman"/>
        </w:rPr>
        <w:t>. In contrast,</w:t>
      </w:r>
      <w:r w:rsidR="00943CEF">
        <w:rPr>
          <w:rFonts w:ascii="Times New Roman" w:hAnsi="Times New Roman"/>
        </w:rPr>
        <w:t xml:space="preserve"> those in the precommitted condition soon experience another player “taking advantage of them” without repercussions, leading to decreasing cooperation across blocks</w:t>
      </w:r>
      <w:r w:rsidR="002C0793" w:rsidRPr="002208A3">
        <w:rPr>
          <w:rFonts w:ascii="Times New Roman" w:hAnsi="Times New Roman"/>
        </w:rPr>
        <w:t xml:space="preserve">. </w:t>
      </w:r>
    </w:p>
    <w:p w14:paraId="23582812" w14:textId="17B77963" w:rsidR="00CF1709" w:rsidRPr="002208A3" w:rsidRDefault="003F239F" w:rsidP="00AF2B85">
      <w:pPr>
        <w:spacing w:line="480" w:lineRule="auto"/>
        <w:rPr>
          <w:rFonts w:ascii="Times New Roman" w:hAnsi="Times New Roman"/>
        </w:rPr>
      </w:pPr>
      <w:r w:rsidRPr="002208A3">
        <w:rPr>
          <w:rFonts w:ascii="Times New Roman" w:hAnsi="Times New Roman"/>
        </w:rPr>
        <w:lastRenderedPageBreak/>
        <w:tab/>
      </w:r>
      <w:r w:rsidR="00FB1AB1" w:rsidRPr="002208A3">
        <w:rPr>
          <w:rFonts w:ascii="Times New Roman" w:hAnsi="Times New Roman"/>
        </w:rPr>
        <w:t>The</w:t>
      </w:r>
      <w:r w:rsidR="00CF1709" w:rsidRPr="002208A3">
        <w:rPr>
          <w:rFonts w:ascii="Times New Roman" w:hAnsi="Times New Roman"/>
        </w:rPr>
        <w:t xml:space="preserve">se results may help explain why precommitment is more effective in </w:t>
      </w:r>
      <w:r w:rsidR="004464D4">
        <w:rPr>
          <w:rFonts w:ascii="Times New Roman" w:hAnsi="Times New Roman"/>
        </w:rPr>
        <w:t xml:space="preserve">stochastic </w:t>
      </w:r>
      <w:r w:rsidR="00CF1709" w:rsidRPr="002208A3">
        <w:rPr>
          <w:rFonts w:ascii="Times New Roman" w:hAnsi="Times New Roman"/>
        </w:rPr>
        <w:t xml:space="preserve">solo games (Study </w:t>
      </w:r>
      <w:r w:rsidR="00F22135">
        <w:rPr>
          <w:rFonts w:ascii="Times New Roman" w:hAnsi="Times New Roman"/>
        </w:rPr>
        <w:t>2</w:t>
      </w:r>
      <w:r w:rsidR="00CF1709" w:rsidRPr="002208A3">
        <w:rPr>
          <w:rFonts w:ascii="Times New Roman" w:hAnsi="Times New Roman"/>
        </w:rPr>
        <w:t xml:space="preserve">) than in stochastic social dilemmas (Studies 1 and </w:t>
      </w:r>
      <w:r w:rsidR="001C4FCC">
        <w:rPr>
          <w:rFonts w:ascii="Times New Roman" w:hAnsi="Times New Roman"/>
        </w:rPr>
        <w:t>A</w:t>
      </w:r>
      <w:r w:rsidR="00CF1709" w:rsidRPr="002208A3">
        <w:rPr>
          <w:rFonts w:ascii="Times New Roman" w:hAnsi="Times New Roman"/>
        </w:rPr>
        <w:t xml:space="preserve">): </w:t>
      </w:r>
      <w:r w:rsidR="00AA16F1" w:rsidRPr="002208A3">
        <w:rPr>
          <w:rFonts w:ascii="Times New Roman" w:hAnsi="Times New Roman"/>
        </w:rPr>
        <w:t xml:space="preserve">on the one hand, precommitment </w:t>
      </w:r>
      <w:r w:rsidR="008C02EF">
        <w:rPr>
          <w:rFonts w:ascii="Times New Roman" w:hAnsi="Times New Roman"/>
        </w:rPr>
        <w:t>under</w:t>
      </w:r>
      <w:r w:rsidR="00DA2667">
        <w:rPr>
          <w:rFonts w:ascii="Times New Roman" w:hAnsi="Times New Roman"/>
        </w:rPr>
        <w:t xml:space="preserve"> </w:t>
      </w:r>
      <w:r w:rsidR="00CF5967">
        <w:rPr>
          <w:rFonts w:ascii="Times New Roman" w:hAnsi="Times New Roman"/>
        </w:rPr>
        <w:t xml:space="preserve">extends </w:t>
      </w:r>
      <w:r w:rsidR="0021345E">
        <w:rPr>
          <w:rFonts w:ascii="Times New Roman" w:hAnsi="Times New Roman"/>
        </w:rPr>
        <w:t xml:space="preserve">individuals’ </w:t>
      </w:r>
      <w:r w:rsidR="00CF5967">
        <w:rPr>
          <w:rFonts w:ascii="Times New Roman" w:hAnsi="Times New Roman"/>
        </w:rPr>
        <w:t xml:space="preserve">time-horizon and </w:t>
      </w:r>
      <w:r w:rsidR="0021345E">
        <w:rPr>
          <w:rFonts w:ascii="Times New Roman" w:hAnsi="Times New Roman"/>
        </w:rPr>
        <w:t>nudges them to set more holistic goals</w:t>
      </w:r>
      <w:r w:rsidR="00AA16F1" w:rsidRPr="002208A3">
        <w:rPr>
          <w:rFonts w:ascii="Times New Roman" w:hAnsi="Times New Roman"/>
        </w:rPr>
        <w:t>, thereby increasing investment</w:t>
      </w:r>
      <w:r w:rsidR="00DA2667">
        <w:rPr>
          <w:rFonts w:ascii="Times New Roman" w:hAnsi="Times New Roman"/>
        </w:rPr>
        <w:t xml:space="preserve"> in protection against stochastic risks</w:t>
      </w:r>
      <w:r w:rsidR="00AA16F1" w:rsidRPr="002208A3">
        <w:rPr>
          <w:rFonts w:ascii="Times New Roman" w:hAnsi="Times New Roman"/>
        </w:rPr>
        <w:t xml:space="preserve">. However, </w:t>
      </w:r>
      <w:r w:rsidR="00DA2667">
        <w:rPr>
          <w:rFonts w:ascii="Times New Roman" w:hAnsi="Times New Roman"/>
        </w:rPr>
        <w:t xml:space="preserve">when precommitting </w:t>
      </w:r>
      <w:r w:rsidR="00AA16F1" w:rsidRPr="002208A3">
        <w:rPr>
          <w:rFonts w:ascii="Times New Roman" w:hAnsi="Times New Roman"/>
        </w:rPr>
        <w:t xml:space="preserve">in a social dilemma, this is tempered </w:t>
      </w:r>
      <w:r w:rsidR="00AD3BD3">
        <w:rPr>
          <w:rFonts w:ascii="Times New Roman" w:hAnsi="Times New Roman"/>
        </w:rPr>
        <w:t xml:space="preserve">by </w:t>
      </w:r>
      <w:r w:rsidR="00C15F70">
        <w:rPr>
          <w:rFonts w:ascii="Times New Roman" w:hAnsi="Times New Roman"/>
        </w:rPr>
        <w:t>the</w:t>
      </w:r>
      <w:r w:rsidR="00AD3BD3">
        <w:rPr>
          <w:rFonts w:ascii="Times New Roman" w:hAnsi="Times New Roman"/>
        </w:rPr>
        <w:t xml:space="preserve"> knowledge </w:t>
      </w:r>
      <w:r w:rsidR="00AA16F1" w:rsidRPr="002208A3">
        <w:rPr>
          <w:rFonts w:ascii="Times New Roman" w:hAnsi="Times New Roman"/>
        </w:rPr>
        <w:t xml:space="preserve">that one's counterpart may defect without repercussions. </w:t>
      </w:r>
      <w:r w:rsidR="00A31B35" w:rsidRPr="00A31B35">
        <w:rPr>
          <w:rFonts w:ascii="Times New Roman" w:hAnsi="Times New Roman"/>
        </w:rPr>
        <w:t xml:space="preserve">Specifically, in a stochastic prisoner’s dilemma, the temptation to defect becomes a variable that is determined by an element of chance and with the specific outcome at each round of interaction rather than a fixed payoff. This randomness changes the strategic landscape of the dilemma. Players now need to make choices based on their beliefs about future interactions and probability distribution of payoffs. This uncertainty also changes how players think about their risk of exploiting others in the dilemma. </w:t>
      </w:r>
      <w:r w:rsidR="004C0EEF" w:rsidRPr="002208A3">
        <w:rPr>
          <w:rFonts w:ascii="Times New Roman" w:hAnsi="Times New Roman"/>
        </w:rPr>
        <w:t xml:space="preserve">On balance, participants </w:t>
      </w:r>
      <w:r w:rsidR="00DC15B5" w:rsidRPr="002208A3">
        <w:rPr>
          <w:rFonts w:ascii="Times New Roman" w:hAnsi="Times New Roman"/>
        </w:rPr>
        <w:t>are</w:t>
      </w:r>
      <w:r w:rsidR="004C0EEF" w:rsidRPr="002208A3">
        <w:rPr>
          <w:rFonts w:ascii="Times New Roman" w:hAnsi="Times New Roman"/>
        </w:rPr>
        <w:t xml:space="preserve"> more sensitive to probabilities than to their counterpart</w:t>
      </w:r>
      <w:r w:rsidR="00DC15B5" w:rsidRPr="002208A3">
        <w:rPr>
          <w:rFonts w:ascii="Times New Roman" w:hAnsi="Times New Roman"/>
        </w:rPr>
        <w:t>s</w:t>
      </w:r>
      <w:r w:rsidR="004C0EEF" w:rsidRPr="002208A3">
        <w:rPr>
          <w:rFonts w:ascii="Times New Roman" w:hAnsi="Times New Roman"/>
        </w:rPr>
        <w:t xml:space="preserve">. Therefore, precommitment in </w:t>
      </w:r>
      <w:r w:rsidR="004F7829">
        <w:rPr>
          <w:rFonts w:ascii="Times New Roman" w:hAnsi="Times New Roman"/>
        </w:rPr>
        <w:t>SPDs</w:t>
      </w:r>
      <w:r w:rsidR="004C0EEF" w:rsidRPr="002208A3">
        <w:rPr>
          <w:rFonts w:ascii="Times New Roman" w:hAnsi="Times New Roman"/>
        </w:rPr>
        <w:t xml:space="preserve"> ha</w:t>
      </w:r>
      <w:r w:rsidR="003115FE" w:rsidRPr="002208A3">
        <w:rPr>
          <w:rFonts w:ascii="Times New Roman" w:hAnsi="Times New Roman"/>
        </w:rPr>
        <w:t>s</w:t>
      </w:r>
      <w:r w:rsidR="004C0EEF" w:rsidRPr="002208A3">
        <w:rPr>
          <w:rFonts w:ascii="Times New Roman" w:hAnsi="Times New Roman"/>
        </w:rPr>
        <w:t xml:space="preserve"> a positive, though modest, effect. </w:t>
      </w:r>
    </w:p>
    <w:p w14:paraId="6990FE34" w14:textId="60484F20" w:rsidR="00045078" w:rsidRPr="002208A3" w:rsidRDefault="00B356F0" w:rsidP="00632DBD">
      <w:pPr>
        <w:spacing w:line="480" w:lineRule="auto"/>
        <w:ind w:firstLine="720"/>
        <w:rPr>
          <w:rFonts w:ascii="Times New Roman" w:hAnsi="Times New Roman"/>
        </w:rPr>
      </w:pPr>
      <w:r w:rsidRPr="002208A3">
        <w:rPr>
          <w:rFonts w:ascii="Times New Roman" w:hAnsi="Times New Roman"/>
        </w:rPr>
        <w:t xml:space="preserve">Another major contribution of </w:t>
      </w:r>
      <w:r w:rsidR="002B5ADD">
        <w:rPr>
          <w:rFonts w:ascii="Times New Roman" w:hAnsi="Times New Roman"/>
        </w:rPr>
        <w:t>S</w:t>
      </w:r>
      <w:r w:rsidRPr="002208A3">
        <w:rPr>
          <w:rFonts w:ascii="Times New Roman" w:hAnsi="Times New Roman"/>
        </w:rPr>
        <w:t xml:space="preserve">tudy </w:t>
      </w:r>
      <w:r w:rsidR="001C4FCC">
        <w:rPr>
          <w:rFonts w:ascii="Times New Roman" w:hAnsi="Times New Roman"/>
        </w:rPr>
        <w:t>3</w:t>
      </w:r>
      <w:r w:rsidR="001C4FCC" w:rsidRPr="002208A3">
        <w:rPr>
          <w:rFonts w:ascii="Times New Roman" w:hAnsi="Times New Roman"/>
        </w:rPr>
        <w:t xml:space="preserve"> </w:t>
      </w:r>
      <w:r w:rsidRPr="002208A3">
        <w:rPr>
          <w:rFonts w:ascii="Times New Roman" w:hAnsi="Times New Roman"/>
        </w:rPr>
        <w:t xml:space="preserve">is </w:t>
      </w:r>
      <w:r w:rsidR="009C7D28">
        <w:rPr>
          <w:rFonts w:ascii="Times New Roman" w:hAnsi="Times New Roman"/>
        </w:rPr>
        <w:t>illuminating</w:t>
      </w:r>
      <w:r w:rsidR="00AE1E15" w:rsidRPr="002208A3">
        <w:rPr>
          <w:rFonts w:ascii="Times New Roman" w:hAnsi="Times New Roman"/>
        </w:rPr>
        <w:t xml:space="preserve"> </w:t>
      </w:r>
      <w:r w:rsidRPr="002208A3">
        <w:rPr>
          <w:rFonts w:ascii="Times New Roman" w:hAnsi="Times New Roman"/>
        </w:rPr>
        <w:t xml:space="preserve">the </w:t>
      </w:r>
      <w:r w:rsidR="009C7D28">
        <w:rPr>
          <w:rFonts w:ascii="Times New Roman" w:hAnsi="Times New Roman"/>
        </w:rPr>
        <w:t xml:space="preserve">sharply diverging </w:t>
      </w:r>
      <w:r w:rsidR="00AE1E15">
        <w:rPr>
          <w:rFonts w:ascii="Times New Roman" w:hAnsi="Times New Roman"/>
        </w:rPr>
        <w:t>impact</w:t>
      </w:r>
      <w:r w:rsidR="00A076AE">
        <w:rPr>
          <w:rFonts w:ascii="Times New Roman" w:hAnsi="Times New Roman"/>
        </w:rPr>
        <w:t>s</w:t>
      </w:r>
      <w:r w:rsidR="00AE1E15" w:rsidRPr="002208A3">
        <w:rPr>
          <w:rFonts w:ascii="Times New Roman" w:hAnsi="Times New Roman"/>
        </w:rPr>
        <w:t xml:space="preserve"> </w:t>
      </w:r>
      <w:r w:rsidRPr="002208A3">
        <w:rPr>
          <w:rFonts w:ascii="Times New Roman" w:hAnsi="Times New Roman"/>
        </w:rPr>
        <w:t xml:space="preserve">of </w:t>
      </w:r>
      <w:r w:rsidR="00AE1E15" w:rsidRPr="002208A3">
        <w:rPr>
          <w:rFonts w:ascii="Times New Roman" w:hAnsi="Times New Roman"/>
        </w:rPr>
        <w:t>precommitment</w:t>
      </w:r>
      <w:r w:rsidR="00AE1E15">
        <w:rPr>
          <w:rFonts w:ascii="Times New Roman" w:hAnsi="Times New Roman"/>
        </w:rPr>
        <w:t xml:space="preserve"> in </w:t>
      </w:r>
      <w:r w:rsidR="009C7D28">
        <w:rPr>
          <w:rFonts w:ascii="Times New Roman" w:hAnsi="Times New Roman"/>
        </w:rPr>
        <w:t>SPD vs DPD settings</w:t>
      </w:r>
      <w:r w:rsidRPr="002208A3">
        <w:rPr>
          <w:rFonts w:ascii="Times New Roman" w:hAnsi="Times New Roman"/>
        </w:rPr>
        <w:t xml:space="preserve">. As can be seen in </w:t>
      </w:r>
      <w:r w:rsidR="00BF2BA6">
        <w:rPr>
          <w:rFonts w:ascii="Times New Roman" w:hAnsi="Times New Roman"/>
        </w:rPr>
        <w:t>F</w:t>
      </w:r>
      <w:r w:rsidRPr="002208A3">
        <w:rPr>
          <w:rFonts w:ascii="Times New Roman" w:hAnsi="Times New Roman"/>
        </w:rPr>
        <w:t xml:space="preserve">igure </w:t>
      </w:r>
      <w:r w:rsidR="006829C1">
        <w:rPr>
          <w:rFonts w:ascii="Times New Roman" w:hAnsi="Times New Roman"/>
        </w:rPr>
        <w:t>8</w:t>
      </w:r>
      <w:r w:rsidR="00A62601">
        <w:rPr>
          <w:rFonts w:ascii="Times New Roman" w:hAnsi="Times New Roman"/>
        </w:rPr>
        <w:t xml:space="preserve"> (which combines and compares data from Study 1 and Study 3), </w:t>
      </w:r>
      <w:r w:rsidRPr="002208A3">
        <w:rPr>
          <w:rFonts w:ascii="Times New Roman" w:hAnsi="Times New Roman"/>
        </w:rPr>
        <w:t xml:space="preserve">in the deterministic setting </w:t>
      </w:r>
      <w:r w:rsidR="00BF2BA6">
        <w:rPr>
          <w:rFonts w:ascii="Times New Roman" w:hAnsi="Times New Roman"/>
        </w:rPr>
        <w:t>investment rates are lower when players must precommit</w:t>
      </w:r>
      <w:r w:rsidRPr="002208A3">
        <w:rPr>
          <w:rFonts w:ascii="Times New Roman" w:hAnsi="Times New Roman"/>
        </w:rPr>
        <w:t xml:space="preserve">. </w:t>
      </w:r>
      <w:r w:rsidR="00A076AE">
        <w:rPr>
          <w:rFonts w:ascii="Times New Roman" w:hAnsi="Times New Roman"/>
        </w:rPr>
        <w:t>Conversely</w:t>
      </w:r>
      <w:r w:rsidR="002F789C" w:rsidRPr="002208A3">
        <w:rPr>
          <w:rFonts w:ascii="Times New Roman" w:hAnsi="Times New Roman"/>
        </w:rPr>
        <w:t xml:space="preserve">, as we observed in </w:t>
      </w:r>
      <w:r w:rsidR="002B5ADD">
        <w:rPr>
          <w:rFonts w:ascii="Times New Roman" w:hAnsi="Times New Roman"/>
        </w:rPr>
        <w:t>S</w:t>
      </w:r>
      <w:r w:rsidR="002F789C" w:rsidRPr="002208A3">
        <w:rPr>
          <w:rFonts w:ascii="Times New Roman" w:hAnsi="Times New Roman"/>
        </w:rPr>
        <w:t>tudy</w:t>
      </w:r>
      <w:r w:rsidR="002B5ADD">
        <w:rPr>
          <w:rFonts w:ascii="Times New Roman" w:hAnsi="Times New Roman"/>
        </w:rPr>
        <w:t xml:space="preserve"> </w:t>
      </w:r>
      <w:r w:rsidR="002F789C" w:rsidRPr="002208A3">
        <w:rPr>
          <w:rFonts w:ascii="Times New Roman" w:hAnsi="Times New Roman"/>
        </w:rPr>
        <w:t xml:space="preserve">1, precommitment </w:t>
      </w:r>
      <w:r w:rsidR="00BF2BA6">
        <w:rPr>
          <w:rFonts w:ascii="Times New Roman" w:hAnsi="Times New Roman"/>
        </w:rPr>
        <w:t>increase</w:t>
      </w:r>
      <w:r w:rsidR="00FC0CCA">
        <w:rPr>
          <w:rFonts w:ascii="Times New Roman" w:hAnsi="Times New Roman"/>
        </w:rPr>
        <w:t>s</w:t>
      </w:r>
      <w:r w:rsidR="00BF2BA6">
        <w:rPr>
          <w:rFonts w:ascii="Times New Roman" w:hAnsi="Times New Roman"/>
        </w:rPr>
        <w:t xml:space="preserve"> investment</w:t>
      </w:r>
      <w:r w:rsidR="002F789C" w:rsidRPr="002208A3">
        <w:rPr>
          <w:rFonts w:ascii="Times New Roman" w:hAnsi="Times New Roman"/>
        </w:rPr>
        <w:t xml:space="preserve"> in stochastic social dilemmas. </w:t>
      </w:r>
      <w:r w:rsidR="00A076AE">
        <w:rPr>
          <w:rFonts w:ascii="Times New Roman" w:hAnsi="Times New Roman"/>
        </w:rPr>
        <w:t>C</w:t>
      </w:r>
      <w:r w:rsidR="00BF2BA6">
        <w:rPr>
          <w:rFonts w:ascii="Times New Roman" w:hAnsi="Times New Roman"/>
        </w:rPr>
        <w:t xml:space="preserve">ombining the data across studies and </w:t>
      </w:r>
      <w:r w:rsidR="002F789C" w:rsidRPr="002208A3">
        <w:rPr>
          <w:rFonts w:ascii="Times New Roman" w:hAnsi="Times New Roman"/>
        </w:rPr>
        <w:t xml:space="preserve">running a </w:t>
      </w:r>
      <w:r w:rsidR="00573F51">
        <w:rPr>
          <w:rFonts w:ascii="Times New Roman" w:hAnsi="Times New Roman"/>
        </w:rPr>
        <w:t>logistic mixed model</w:t>
      </w:r>
      <w:r w:rsidR="00632DBD">
        <w:rPr>
          <w:rFonts w:ascii="Times New Roman" w:hAnsi="Times New Roman"/>
        </w:rPr>
        <w:t xml:space="preserve"> with fixed effects for game type, choice type, and their interaction, plus random effects of participant ID and partner ID</w:t>
      </w:r>
      <w:r w:rsidR="00573F51">
        <w:rPr>
          <w:rFonts w:ascii="Times New Roman" w:hAnsi="Times New Roman"/>
        </w:rPr>
        <w:t xml:space="preserve">, we found </w:t>
      </w:r>
      <w:r w:rsidR="002F789C" w:rsidRPr="002208A3">
        <w:rPr>
          <w:rFonts w:ascii="Times New Roman" w:hAnsi="Times New Roman"/>
        </w:rPr>
        <w:t xml:space="preserve">that the </w:t>
      </w:r>
      <w:r w:rsidR="00E54F21">
        <w:rPr>
          <w:rFonts w:ascii="Times New Roman" w:hAnsi="Times New Roman"/>
        </w:rPr>
        <w:t xml:space="preserve">focal </w:t>
      </w:r>
      <w:r w:rsidR="00632DBD">
        <w:rPr>
          <w:rFonts w:ascii="Times New Roman" w:hAnsi="Times New Roman"/>
        </w:rPr>
        <w:t xml:space="preserve">2x2 </w:t>
      </w:r>
      <w:r w:rsidR="002F789C" w:rsidRPr="002208A3">
        <w:rPr>
          <w:rFonts w:ascii="Times New Roman" w:hAnsi="Times New Roman"/>
        </w:rPr>
        <w:t>interaction between the game type (DPD vs. SPD) and choice type (Precommitted vs. Repe</w:t>
      </w:r>
      <w:r w:rsidR="00BF2BA6">
        <w:rPr>
          <w:rFonts w:ascii="Times New Roman" w:hAnsi="Times New Roman"/>
        </w:rPr>
        <w:t>ated</w:t>
      </w:r>
      <w:r w:rsidR="002F789C" w:rsidRPr="002208A3">
        <w:rPr>
          <w:rFonts w:ascii="Times New Roman" w:hAnsi="Times New Roman"/>
        </w:rPr>
        <w:t xml:space="preserve">) </w:t>
      </w:r>
      <w:r w:rsidR="00632DBD">
        <w:rPr>
          <w:rFonts w:ascii="Times New Roman" w:hAnsi="Times New Roman"/>
        </w:rPr>
        <w:t>observed in Figure 8 is</w:t>
      </w:r>
      <w:r w:rsidR="00632DBD" w:rsidRPr="002208A3">
        <w:rPr>
          <w:rFonts w:ascii="Times New Roman" w:hAnsi="Times New Roman"/>
        </w:rPr>
        <w:t xml:space="preserve"> </w:t>
      </w:r>
      <w:r w:rsidR="002F789C" w:rsidRPr="002208A3">
        <w:rPr>
          <w:rFonts w:ascii="Times New Roman" w:hAnsi="Times New Roman"/>
        </w:rPr>
        <w:t xml:space="preserve">significant </w:t>
      </w:r>
      <w:r w:rsidR="00632DBD" w:rsidRPr="00632DBD">
        <w:rPr>
          <w:rFonts w:ascii="Times New Roman" w:hAnsi="Times New Roman"/>
        </w:rPr>
        <w:t>B=</w:t>
      </w:r>
      <w:r w:rsidR="00163DDB">
        <w:rPr>
          <w:rFonts w:ascii="Times New Roman" w:hAnsi="Times New Roman"/>
        </w:rPr>
        <w:t>4</w:t>
      </w:r>
      <w:r w:rsidR="00A254D9">
        <w:rPr>
          <w:rFonts w:ascii="Times New Roman" w:hAnsi="Times New Roman"/>
        </w:rPr>
        <w:t>.</w:t>
      </w:r>
      <w:r w:rsidR="00163DDB">
        <w:rPr>
          <w:rFonts w:ascii="Times New Roman" w:hAnsi="Times New Roman"/>
        </w:rPr>
        <w:t>65</w:t>
      </w:r>
      <w:r w:rsidR="00632DBD" w:rsidRPr="00632DBD">
        <w:rPr>
          <w:rFonts w:ascii="Times New Roman" w:hAnsi="Times New Roman"/>
        </w:rPr>
        <w:t xml:space="preserve">, </w:t>
      </w:r>
      <w:r w:rsidR="00632DBD" w:rsidRPr="00632DBD">
        <w:rPr>
          <w:rFonts w:ascii="Times New Roman" w:hAnsi="Times New Roman"/>
        </w:rPr>
        <w:lastRenderedPageBreak/>
        <w:t>SE=</w:t>
      </w:r>
      <w:r w:rsidR="00163DDB">
        <w:rPr>
          <w:rFonts w:ascii="Times New Roman" w:hAnsi="Times New Roman"/>
        </w:rPr>
        <w:t>1.09</w:t>
      </w:r>
      <w:r w:rsidR="00632DBD" w:rsidRPr="00632DBD">
        <w:rPr>
          <w:rFonts w:ascii="Times New Roman" w:hAnsi="Times New Roman"/>
        </w:rPr>
        <w:t>, p</w:t>
      </w:r>
      <w:r w:rsidR="00163DDB">
        <w:rPr>
          <w:rFonts w:ascii="Times New Roman" w:hAnsi="Times New Roman"/>
        </w:rPr>
        <w:t>&lt;.001</w:t>
      </w:r>
      <w:r w:rsidR="00632DBD" w:rsidRPr="00632DBD">
        <w:rPr>
          <w:rFonts w:ascii="Times New Roman" w:hAnsi="Times New Roman"/>
        </w:rPr>
        <w:t>, OR=</w:t>
      </w:r>
      <w:r w:rsidR="00163DDB">
        <w:rPr>
          <w:rFonts w:ascii="Times New Roman" w:hAnsi="Times New Roman"/>
        </w:rPr>
        <w:t>4</w:t>
      </w:r>
      <w:r w:rsidR="00A254D9">
        <w:rPr>
          <w:rFonts w:ascii="Times New Roman" w:hAnsi="Times New Roman"/>
        </w:rPr>
        <w:t>.</w:t>
      </w:r>
      <w:r w:rsidR="00163DDB">
        <w:rPr>
          <w:rFonts w:ascii="Times New Roman" w:hAnsi="Times New Roman"/>
        </w:rPr>
        <w:t>27</w:t>
      </w:r>
      <w:r w:rsidR="002F789C" w:rsidRPr="002208A3">
        <w:rPr>
          <w:rFonts w:ascii="Times New Roman" w:hAnsi="Times New Roman"/>
        </w:rPr>
        <w:t xml:space="preserve">. </w:t>
      </w:r>
      <w:r w:rsidR="00045078" w:rsidRPr="002208A3">
        <w:rPr>
          <w:rFonts w:ascii="Times New Roman" w:hAnsi="Times New Roman"/>
        </w:rPr>
        <w:t xml:space="preserve">This interaction illustrates the </w:t>
      </w:r>
      <w:r w:rsidR="00A076AE">
        <w:rPr>
          <w:rFonts w:ascii="Times New Roman" w:hAnsi="Times New Roman"/>
        </w:rPr>
        <w:t>opposing forces</w:t>
      </w:r>
      <w:r w:rsidR="00045078" w:rsidRPr="002208A3">
        <w:rPr>
          <w:rFonts w:ascii="Times New Roman" w:hAnsi="Times New Roman"/>
        </w:rPr>
        <w:t>: in stochastic settings</w:t>
      </w:r>
      <w:r w:rsidR="00AD3BD3">
        <w:rPr>
          <w:rFonts w:ascii="Times New Roman" w:hAnsi="Times New Roman"/>
        </w:rPr>
        <w:t>,</w:t>
      </w:r>
      <w:r w:rsidR="00045078" w:rsidRPr="002208A3">
        <w:rPr>
          <w:rFonts w:ascii="Times New Roman" w:hAnsi="Times New Roman"/>
        </w:rPr>
        <w:t xml:space="preserve"> investment rates may benefit from precommitment </w:t>
      </w:r>
      <w:r w:rsidR="00A076AE">
        <w:rPr>
          <w:rFonts w:ascii="Times New Roman" w:hAnsi="Times New Roman"/>
        </w:rPr>
        <w:t xml:space="preserve">through broadening </w:t>
      </w:r>
      <w:r w:rsidR="005F30B1">
        <w:rPr>
          <w:rFonts w:ascii="Times New Roman" w:hAnsi="Times New Roman"/>
        </w:rPr>
        <w:t xml:space="preserve">participants decision </w:t>
      </w:r>
      <w:r w:rsidR="00A076AE">
        <w:rPr>
          <w:rFonts w:ascii="Times New Roman" w:hAnsi="Times New Roman"/>
        </w:rPr>
        <w:t xml:space="preserve">horizons and </w:t>
      </w:r>
      <w:r w:rsidR="005F30B1">
        <w:rPr>
          <w:rFonts w:ascii="Times New Roman" w:hAnsi="Times New Roman"/>
        </w:rPr>
        <w:t>increasing the importance placed on avoiding cumulative long-term risks</w:t>
      </w:r>
      <w:r w:rsidR="00AD3BD3">
        <w:rPr>
          <w:rFonts w:ascii="Times New Roman" w:hAnsi="Times New Roman"/>
        </w:rPr>
        <w:t xml:space="preserve">; </w:t>
      </w:r>
      <w:r w:rsidR="005F30B1">
        <w:rPr>
          <w:rFonts w:ascii="Times New Roman" w:hAnsi="Times New Roman"/>
        </w:rPr>
        <w:t xml:space="preserve">but </w:t>
      </w:r>
      <w:r w:rsidR="00AD3BD3">
        <w:rPr>
          <w:rFonts w:ascii="Times New Roman" w:hAnsi="Times New Roman"/>
        </w:rPr>
        <w:t>in</w:t>
      </w:r>
      <w:r w:rsidR="00045078" w:rsidRPr="002208A3">
        <w:rPr>
          <w:rFonts w:ascii="Times New Roman" w:hAnsi="Times New Roman"/>
        </w:rPr>
        <w:t xml:space="preserve"> deterministic</w:t>
      </w:r>
      <w:r w:rsidR="005F30B1">
        <w:rPr>
          <w:rFonts w:ascii="Times New Roman" w:hAnsi="Times New Roman"/>
        </w:rPr>
        <w:t xml:space="preserve"> </w:t>
      </w:r>
      <w:r w:rsidR="00045078" w:rsidRPr="002208A3">
        <w:rPr>
          <w:rFonts w:ascii="Times New Roman" w:hAnsi="Times New Roman"/>
        </w:rPr>
        <w:t>settings</w:t>
      </w:r>
      <w:r w:rsidR="00AD3BD3">
        <w:rPr>
          <w:rFonts w:ascii="Times New Roman" w:hAnsi="Times New Roman"/>
        </w:rPr>
        <w:t xml:space="preserve">, </w:t>
      </w:r>
      <w:r w:rsidR="005F30B1">
        <w:rPr>
          <w:rFonts w:ascii="Times New Roman" w:hAnsi="Times New Roman"/>
        </w:rPr>
        <w:t>investment rates</w:t>
      </w:r>
      <w:r w:rsidR="005F30B1" w:rsidRPr="002208A3">
        <w:rPr>
          <w:rFonts w:ascii="Times New Roman" w:hAnsi="Times New Roman"/>
        </w:rPr>
        <w:t xml:space="preserve"> </w:t>
      </w:r>
      <w:r w:rsidR="00045078" w:rsidRPr="002208A3">
        <w:rPr>
          <w:rFonts w:ascii="Times New Roman" w:hAnsi="Times New Roman"/>
        </w:rPr>
        <w:t xml:space="preserve">suffer from precommitment, in that each party will </w:t>
      </w:r>
      <w:r w:rsidR="00BF2BA6">
        <w:rPr>
          <w:rFonts w:ascii="Times New Roman" w:hAnsi="Times New Roman"/>
        </w:rPr>
        <w:t>eventually learn</w:t>
      </w:r>
      <w:r w:rsidR="00045078" w:rsidRPr="002208A3">
        <w:rPr>
          <w:rFonts w:ascii="Times New Roman" w:hAnsi="Times New Roman"/>
        </w:rPr>
        <w:t xml:space="preserve"> that they </w:t>
      </w:r>
      <w:r w:rsidR="005F30B1">
        <w:rPr>
          <w:rFonts w:ascii="Times New Roman" w:hAnsi="Times New Roman"/>
        </w:rPr>
        <w:t>will be</w:t>
      </w:r>
      <w:r w:rsidR="005F30B1" w:rsidRPr="002208A3">
        <w:rPr>
          <w:rFonts w:ascii="Times New Roman" w:hAnsi="Times New Roman"/>
        </w:rPr>
        <w:t xml:space="preserve"> </w:t>
      </w:r>
      <w:r w:rsidR="00045078" w:rsidRPr="002208A3">
        <w:rPr>
          <w:rFonts w:ascii="Times New Roman" w:hAnsi="Times New Roman"/>
        </w:rPr>
        <w:t>defect</w:t>
      </w:r>
      <w:r w:rsidR="005F30B1">
        <w:rPr>
          <w:rFonts w:ascii="Times New Roman" w:hAnsi="Times New Roman"/>
        </w:rPr>
        <w:t>ed on</w:t>
      </w:r>
      <w:r w:rsidR="00045078" w:rsidRPr="002208A3">
        <w:rPr>
          <w:rFonts w:ascii="Times New Roman" w:hAnsi="Times New Roman"/>
        </w:rPr>
        <w:t xml:space="preserve"> without any repercussions. </w:t>
      </w:r>
      <w:r w:rsidR="004F7829">
        <w:rPr>
          <w:rFonts w:ascii="Times New Roman" w:hAnsi="Times New Roman"/>
        </w:rPr>
        <w:t xml:space="preserve">Another factor may be that a defection in the DPD is a clearly selfish choice, while a defection in the SPD may either reflect selfishness or a risk-seeking preference, thereby diluting both the positive influence of “tit for tat” strategies in the repeated conditions, and the negative influence of restricted interactions in the precommitted conditions. </w:t>
      </w:r>
    </w:p>
    <w:p w14:paraId="7A75107E" w14:textId="77777777" w:rsidR="00045078" w:rsidRPr="002208A3" w:rsidRDefault="00045078" w:rsidP="00045078">
      <w:pPr>
        <w:spacing w:line="480" w:lineRule="auto"/>
        <w:rPr>
          <w:rFonts w:ascii="Times New Roman" w:hAnsi="Times New Roman"/>
        </w:rPr>
      </w:pPr>
    </w:p>
    <w:p w14:paraId="7806986C" w14:textId="39196AC2" w:rsidR="00045078" w:rsidRPr="002208A3" w:rsidRDefault="00045078" w:rsidP="00346AD8">
      <w:pPr>
        <w:spacing w:line="480" w:lineRule="auto"/>
        <w:rPr>
          <w:rFonts w:ascii="Times New Roman" w:hAnsi="Times New Roman"/>
          <w:i/>
        </w:rPr>
      </w:pPr>
      <w:r w:rsidRPr="002208A3">
        <w:rPr>
          <w:rFonts w:ascii="Times New Roman" w:hAnsi="Times New Roman"/>
          <w:i/>
        </w:rPr>
        <w:t xml:space="preserve">Figure </w:t>
      </w:r>
      <w:r w:rsidR="006829C1">
        <w:rPr>
          <w:rFonts w:ascii="Times New Roman" w:hAnsi="Times New Roman"/>
          <w:i/>
        </w:rPr>
        <w:t>8</w:t>
      </w:r>
      <w:r w:rsidRPr="002208A3">
        <w:rPr>
          <w:rFonts w:ascii="Times New Roman" w:hAnsi="Times New Roman"/>
          <w:i/>
        </w:rPr>
        <w:t xml:space="preserve">: Mean investment proportion in the </w:t>
      </w:r>
      <w:r w:rsidR="00346AD8">
        <w:rPr>
          <w:rFonts w:ascii="Times New Roman" w:hAnsi="Times New Roman"/>
          <w:i/>
        </w:rPr>
        <w:t xml:space="preserve">Deterministic </w:t>
      </w:r>
      <w:r w:rsidR="00974F97">
        <w:rPr>
          <w:rFonts w:ascii="Times New Roman" w:hAnsi="Times New Roman"/>
          <w:i/>
        </w:rPr>
        <w:t>Prisoner's</w:t>
      </w:r>
      <w:r w:rsidR="00346AD8">
        <w:rPr>
          <w:rFonts w:ascii="Times New Roman" w:hAnsi="Times New Roman"/>
          <w:i/>
        </w:rPr>
        <w:t xml:space="preserve"> Dilemma (</w:t>
      </w:r>
      <w:r w:rsidRPr="002208A3">
        <w:rPr>
          <w:rFonts w:ascii="Times New Roman" w:hAnsi="Times New Roman"/>
          <w:i/>
        </w:rPr>
        <w:t>DPD</w:t>
      </w:r>
      <w:r w:rsidR="00346AD8">
        <w:rPr>
          <w:rFonts w:ascii="Times New Roman" w:hAnsi="Times New Roman"/>
          <w:i/>
        </w:rPr>
        <w:t>)</w:t>
      </w:r>
      <w:r w:rsidRPr="002208A3">
        <w:rPr>
          <w:rFonts w:ascii="Times New Roman" w:hAnsi="Times New Roman"/>
          <w:i/>
        </w:rPr>
        <w:t xml:space="preserve"> vs. </w:t>
      </w:r>
      <w:r w:rsidR="00346AD8">
        <w:rPr>
          <w:rFonts w:ascii="Times New Roman" w:hAnsi="Times New Roman"/>
          <w:i/>
        </w:rPr>
        <w:t xml:space="preserve">Stochastic </w:t>
      </w:r>
      <w:r w:rsidR="00974F97">
        <w:rPr>
          <w:rFonts w:ascii="Times New Roman" w:hAnsi="Times New Roman"/>
          <w:i/>
        </w:rPr>
        <w:t>Prisoner's</w:t>
      </w:r>
      <w:r w:rsidR="00346AD8">
        <w:rPr>
          <w:rFonts w:ascii="Times New Roman" w:hAnsi="Times New Roman"/>
          <w:i/>
        </w:rPr>
        <w:t xml:space="preserve"> Dilemma (</w:t>
      </w:r>
      <w:r w:rsidRPr="002208A3">
        <w:rPr>
          <w:rFonts w:ascii="Times New Roman" w:hAnsi="Times New Roman"/>
          <w:i/>
        </w:rPr>
        <w:t>SPD</w:t>
      </w:r>
      <w:r w:rsidR="00346AD8">
        <w:rPr>
          <w:rFonts w:ascii="Times New Roman" w:hAnsi="Times New Roman"/>
          <w:i/>
        </w:rPr>
        <w:t>)</w:t>
      </w:r>
      <w:r w:rsidRPr="002208A3">
        <w:rPr>
          <w:rFonts w:ascii="Times New Roman" w:hAnsi="Times New Roman"/>
          <w:i/>
        </w:rPr>
        <w:t xml:space="preserve"> and Repe</w:t>
      </w:r>
      <w:r w:rsidR="00BF2BA6">
        <w:rPr>
          <w:rFonts w:ascii="Times New Roman" w:hAnsi="Times New Roman"/>
          <w:i/>
        </w:rPr>
        <w:t>a</w:t>
      </w:r>
      <w:r w:rsidRPr="002208A3">
        <w:rPr>
          <w:rFonts w:ascii="Times New Roman" w:hAnsi="Times New Roman"/>
          <w:i/>
        </w:rPr>
        <w:t>t</w:t>
      </w:r>
      <w:r w:rsidR="00BF2BA6">
        <w:rPr>
          <w:rFonts w:ascii="Times New Roman" w:hAnsi="Times New Roman"/>
          <w:i/>
        </w:rPr>
        <w:t>ed</w:t>
      </w:r>
      <w:r w:rsidR="00346AD8">
        <w:rPr>
          <w:rFonts w:ascii="Times New Roman" w:hAnsi="Times New Roman"/>
          <w:i/>
        </w:rPr>
        <w:t xml:space="preserve"> vs. Precommitted choices</w:t>
      </w:r>
      <w:r w:rsidR="007742EE">
        <w:rPr>
          <w:rFonts w:ascii="Times New Roman" w:hAnsi="Times New Roman"/>
          <w:i/>
        </w:rPr>
        <w:t>, comparing data across Study 1 and Study 3</w:t>
      </w:r>
      <w:r w:rsidRPr="002208A3">
        <w:rPr>
          <w:rFonts w:ascii="Times New Roman" w:hAnsi="Times New Roman"/>
          <w:i/>
        </w:rPr>
        <w:t xml:space="preserve">. </w:t>
      </w:r>
      <w:r w:rsidR="00BF1176">
        <w:rPr>
          <w:rFonts w:ascii="Times New Roman" w:hAnsi="Times New Roman"/>
          <w:i/>
        </w:rPr>
        <w:t>W</w:t>
      </w:r>
      <w:r w:rsidRPr="002208A3">
        <w:rPr>
          <w:rFonts w:ascii="Times New Roman" w:hAnsi="Times New Roman"/>
          <w:i/>
        </w:rPr>
        <w:t xml:space="preserve">hen the outcomes are </w:t>
      </w:r>
      <w:r w:rsidR="00BF1176">
        <w:rPr>
          <w:rFonts w:ascii="Times New Roman" w:hAnsi="Times New Roman"/>
          <w:i/>
        </w:rPr>
        <w:t>stochastic</w:t>
      </w:r>
      <w:r w:rsidRPr="002208A3">
        <w:rPr>
          <w:rFonts w:ascii="Times New Roman" w:hAnsi="Times New Roman"/>
          <w:i/>
        </w:rPr>
        <w:t xml:space="preserve">, precommitment results in higher investment rates, </w:t>
      </w:r>
      <w:r w:rsidR="00BF1176">
        <w:rPr>
          <w:rFonts w:ascii="Times New Roman" w:hAnsi="Times New Roman"/>
          <w:i/>
        </w:rPr>
        <w:t xml:space="preserve">but </w:t>
      </w:r>
      <w:r w:rsidRPr="002208A3">
        <w:rPr>
          <w:rFonts w:ascii="Times New Roman" w:hAnsi="Times New Roman"/>
          <w:i/>
        </w:rPr>
        <w:t xml:space="preserve">when the outcomes are </w:t>
      </w:r>
      <w:r w:rsidR="00BF1176">
        <w:rPr>
          <w:rFonts w:ascii="Times New Roman" w:hAnsi="Times New Roman"/>
          <w:i/>
        </w:rPr>
        <w:t>deterministic, the opposite is true</w:t>
      </w:r>
      <w:r w:rsidRPr="002208A3">
        <w:rPr>
          <w:rFonts w:ascii="Times New Roman" w:hAnsi="Times New Roman"/>
          <w:i/>
        </w:rPr>
        <w:t xml:space="preserve">. </w:t>
      </w:r>
      <w:r w:rsidR="00EE6394">
        <w:rPr>
          <w:rFonts w:ascii="Times New Roman" w:hAnsi="Times New Roman"/>
          <w:i/>
        </w:rPr>
        <w:t xml:space="preserve">Error bars indicate +/- one standard error. </w:t>
      </w:r>
    </w:p>
    <w:p w14:paraId="301261BE" w14:textId="1103D135" w:rsidR="00045078" w:rsidRPr="002208A3" w:rsidRDefault="00045078" w:rsidP="00AF2B85">
      <w:pPr>
        <w:spacing w:line="480" w:lineRule="auto"/>
        <w:rPr>
          <w:rFonts w:ascii="Times New Roman" w:hAnsi="Times New Roman"/>
        </w:rPr>
      </w:pPr>
    </w:p>
    <w:p w14:paraId="556825C9" w14:textId="1F215418" w:rsidR="00A14EB8" w:rsidRDefault="00FB1AB1" w:rsidP="00AF2B85">
      <w:pPr>
        <w:spacing w:line="480" w:lineRule="auto"/>
        <w:rPr>
          <w:rFonts w:ascii="Times New Roman" w:hAnsi="Times New Roman"/>
          <w:i/>
        </w:rPr>
      </w:pPr>
      <w:r w:rsidRPr="002208A3">
        <w:rPr>
          <w:rFonts w:ascii="Times New Roman" w:hAnsi="Times New Roman"/>
        </w:rPr>
        <w:lastRenderedPageBreak/>
        <w:t xml:space="preserve"> </w:t>
      </w:r>
      <w:r w:rsidR="00DD269F">
        <w:rPr>
          <w:noProof/>
          <w:lang w:val="en-CA" w:eastAsia="en-CA"/>
        </w:rPr>
        <w:drawing>
          <wp:inline distT="0" distB="0" distL="0" distR="0" wp14:anchorId="3B81699E" wp14:editId="301C9A56">
            <wp:extent cx="5191125" cy="33909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A6E561" w14:textId="04F4DFFF" w:rsidR="00780E18" w:rsidRPr="00511D2D" w:rsidRDefault="005E43A5" w:rsidP="00511D2D">
      <w:pPr>
        <w:spacing w:line="480" w:lineRule="auto"/>
        <w:ind w:firstLine="720"/>
        <w:rPr>
          <w:rFonts w:ascii="Times New Roman" w:hAnsi="Times New Roman"/>
          <w:iCs/>
        </w:rPr>
      </w:pPr>
      <w:r>
        <w:rPr>
          <w:rFonts w:ascii="Times New Roman" w:hAnsi="Times New Roman"/>
          <w:iCs/>
        </w:rPr>
        <w:t xml:space="preserve">Finally, </w:t>
      </w:r>
      <w:r w:rsidR="00780E18">
        <w:rPr>
          <w:rFonts w:ascii="Times New Roman" w:hAnsi="Times New Roman"/>
          <w:iCs/>
        </w:rPr>
        <w:t xml:space="preserve">in Study 4 we explored the effects of non-binding precommitment, both for the practical value (many real-life commitments are non-binding), and also as a way to combine increased time horizons while also allowing interactions between participants. As laid out in the introduction, the conflicting forces at play meant that we did not have a strong hypothesis prior to conducting the study; we ran it using an exploratory approach. </w:t>
      </w:r>
    </w:p>
    <w:p w14:paraId="15D318BB" w14:textId="3C542CEE" w:rsidR="00780E18" w:rsidRDefault="00780E18">
      <w:pPr>
        <w:rPr>
          <w:rFonts w:asciiTheme="majorBidi" w:hAnsiTheme="majorBidi" w:cstheme="majorBidi"/>
          <w:i/>
          <w:iCs/>
        </w:rPr>
      </w:pPr>
    </w:p>
    <w:p w14:paraId="599D54B1" w14:textId="18C3424C" w:rsidR="00A14EB8" w:rsidRDefault="00A14EB8" w:rsidP="00A14EB8">
      <w:pPr>
        <w:spacing w:line="480" w:lineRule="auto"/>
        <w:jc w:val="center"/>
        <w:rPr>
          <w:rFonts w:ascii="Times New Roman" w:hAnsi="Times New Roman"/>
          <w:i/>
        </w:rPr>
      </w:pPr>
      <w:r w:rsidRPr="00434349">
        <w:rPr>
          <w:rFonts w:asciiTheme="majorBidi" w:hAnsiTheme="majorBidi" w:cstheme="majorBidi"/>
          <w:i/>
          <w:iCs/>
        </w:rPr>
        <w:t xml:space="preserve">Study </w:t>
      </w:r>
      <w:r w:rsidR="00F22135">
        <w:rPr>
          <w:rFonts w:asciiTheme="majorBidi" w:hAnsiTheme="majorBidi" w:cstheme="majorBidi"/>
          <w:i/>
          <w:iCs/>
        </w:rPr>
        <w:t>4</w:t>
      </w:r>
    </w:p>
    <w:p w14:paraId="03C6E93D" w14:textId="0E657B88" w:rsidR="00A14EB8" w:rsidRDefault="00A14EB8" w:rsidP="00A14EB8">
      <w:pPr>
        <w:spacing w:line="480" w:lineRule="auto"/>
        <w:ind w:firstLine="720"/>
        <w:rPr>
          <w:rFonts w:ascii="Times New Roman" w:hAnsi="Times New Roman"/>
          <w:iCs/>
        </w:rPr>
      </w:pPr>
      <w:r>
        <w:rPr>
          <w:rFonts w:ascii="Times New Roman" w:hAnsi="Times New Roman"/>
          <w:iCs/>
        </w:rPr>
        <w:t xml:space="preserve">The </w:t>
      </w:r>
      <w:r w:rsidR="00780E18">
        <w:rPr>
          <w:rFonts w:ascii="Times New Roman" w:hAnsi="Times New Roman"/>
          <w:iCs/>
        </w:rPr>
        <w:t>primary</w:t>
      </w:r>
      <w:r w:rsidR="00483AF9">
        <w:rPr>
          <w:rFonts w:ascii="Times New Roman" w:hAnsi="Times New Roman"/>
          <w:iCs/>
        </w:rPr>
        <w:t xml:space="preserve"> </w:t>
      </w:r>
      <w:r>
        <w:rPr>
          <w:rFonts w:ascii="Times New Roman" w:hAnsi="Times New Roman"/>
          <w:iCs/>
        </w:rPr>
        <w:t xml:space="preserve">goal of </w:t>
      </w:r>
      <w:r w:rsidR="00780E18">
        <w:rPr>
          <w:rFonts w:ascii="Times New Roman" w:hAnsi="Times New Roman"/>
          <w:iCs/>
        </w:rPr>
        <w:t xml:space="preserve">Study </w:t>
      </w:r>
      <w:r w:rsidR="001C4FCC">
        <w:rPr>
          <w:rFonts w:ascii="Times New Roman" w:hAnsi="Times New Roman"/>
          <w:iCs/>
        </w:rPr>
        <w:t xml:space="preserve">4 </w:t>
      </w:r>
      <w:r>
        <w:rPr>
          <w:rFonts w:ascii="Times New Roman" w:hAnsi="Times New Roman"/>
          <w:iCs/>
        </w:rPr>
        <w:t xml:space="preserve">was to compare the effects of binding versus </w:t>
      </w:r>
      <w:r w:rsidR="00780E18">
        <w:rPr>
          <w:rFonts w:ascii="Times New Roman" w:hAnsi="Times New Roman"/>
          <w:iCs/>
        </w:rPr>
        <w:t>non-</w:t>
      </w:r>
      <w:r>
        <w:rPr>
          <w:rFonts w:ascii="Times New Roman" w:hAnsi="Times New Roman"/>
          <w:iCs/>
        </w:rPr>
        <w:t xml:space="preserve">binding precommitment in </w:t>
      </w:r>
      <w:r w:rsidR="001364A6">
        <w:rPr>
          <w:rFonts w:ascii="Times New Roman" w:hAnsi="Times New Roman"/>
          <w:iCs/>
        </w:rPr>
        <w:t xml:space="preserve">the </w:t>
      </w:r>
      <w:r w:rsidR="006F7B28">
        <w:rPr>
          <w:rFonts w:ascii="Times New Roman" w:hAnsi="Times New Roman"/>
          <w:iCs/>
        </w:rPr>
        <w:t>SPD</w:t>
      </w:r>
      <w:r>
        <w:rPr>
          <w:rFonts w:ascii="Times New Roman" w:hAnsi="Times New Roman"/>
          <w:iCs/>
        </w:rPr>
        <w:t xml:space="preserve"> setting</w:t>
      </w:r>
      <w:r w:rsidR="00483AF9">
        <w:rPr>
          <w:rFonts w:ascii="Times New Roman" w:hAnsi="Times New Roman"/>
          <w:iCs/>
        </w:rPr>
        <w:t xml:space="preserve">. A second goal was </w:t>
      </w:r>
      <w:r>
        <w:rPr>
          <w:rFonts w:ascii="Times New Roman" w:hAnsi="Times New Roman"/>
          <w:iCs/>
        </w:rPr>
        <w:t xml:space="preserve">to examine the replicability of the </w:t>
      </w:r>
      <w:proofErr w:type="gramStart"/>
      <w:r w:rsidR="006F7B28">
        <w:rPr>
          <w:rFonts w:ascii="Times New Roman" w:hAnsi="Times New Roman"/>
          <w:iCs/>
        </w:rPr>
        <w:t xml:space="preserve">binding  </w:t>
      </w:r>
      <w:r>
        <w:rPr>
          <w:rFonts w:ascii="Times New Roman" w:hAnsi="Times New Roman"/>
          <w:iCs/>
        </w:rPr>
        <w:t>precommitment</w:t>
      </w:r>
      <w:proofErr w:type="gramEnd"/>
      <w:r>
        <w:rPr>
          <w:rFonts w:ascii="Times New Roman" w:hAnsi="Times New Roman"/>
          <w:iCs/>
        </w:rPr>
        <w:t xml:space="preserve"> effect </w:t>
      </w:r>
      <w:r w:rsidR="00483AF9">
        <w:rPr>
          <w:rFonts w:ascii="Times New Roman" w:hAnsi="Times New Roman"/>
          <w:iCs/>
        </w:rPr>
        <w:t xml:space="preserve">previously </w:t>
      </w:r>
      <w:r>
        <w:rPr>
          <w:rFonts w:ascii="Times New Roman" w:hAnsi="Times New Roman"/>
          <w:iCs/>
        </w:rPr>
        <w:t xml:space="preserve">observed in </w:t>
      </w:r>
      <w:r w:rsidR="006F7B28">
        <w:rPr>
          <w:rFonts w:ascii="Times New Roman" w:hAnsi="Times New Roman"/>
          <w:iCs/>
        </w:rPr>
        <w:t xml:space="preserve">Study 1, </w:t>
      </w:r>
      <w:r w:rsidR="00780E18">
        <w:rPr>
          <w:rFonts w:ascii="Times New Roman" w:hAnsi="Times New Roman"/>
          <w:iCs/>
        </w:rPr>
        <w:t xml:space="preserve">while </w:t>
      </w:r>
      <w:r w:rsidR="00483AF9">
        <w:rPr>
          <w:rFonts w:ascii="Times New Roman" w:hAnsi="Times New Roman"/>
          <w:iCs/>
        </w:rPr>
        <w:t>using a different population, 11 years later, and with a larger sample size</w:t>
      </w:r>
      <w:r>
        <w:rPr>
          <w:rFonts w:ascii="Times New Roman" w:hAnsi="Times New Roman"/>
          <w:iCs/>
        </w:rPr>
        <w:t xml:space="preserve">. </w:t>
      </w:r>
    </w:p>
    <w:p w14:paraId="00EE81F6" w14:textId="1C5D4519" w:rsidR="00A14EB8" w:rsidRPr="00434349" w:rsidRDefault="00A14EB8" w:rsidP="00A14EB8">
      <w:pPr>
        <w:spacing w:line="480" w:lineRule="auto"/>
        <w:rPr>
          <w:rFonts w:asciiTheme="majorBidi" w:hAnsiTheme="majorBidi" w:cstheme="majorBidi"/>
          <w:i/>
          <w:iCs/>
        </w:rPr>
      </w:pPr>
      <w:r w:rsidRPr="00434349">
        <w:rPr>
          <w:rFonts w:asciiTheme="majorBidi" w:hAnsiTheme="majorBidi" w:cstheme="majorBidi"/>
          <w:i/>
          <w:iCs/>
        </w:rPr>
        <w:t>Study</w:t>
      </w:r>
      <w:r>
        <w:rPr>
          <w:rFonts w:asciiTheme="majorBidi" w:hAnsiTheme="majorBidi" w:cstheme="majorBidi"/>
          <w:i/>
          <w:iCs/>
        </w:rPr>
        <w:t xml:space="preserve"> </w:t>
      </w:r>
      <w:r w:rsidR="001C4FCC">
        <w:rPr>
          <w:rFonts w:asciiTheme="majorBidi" w:hAnsiTheme="majorBidi" w:cstheme="majorBidi"/>
          <w:i/>
          <w:iCs/>
        </w:rPr>
        <w:t>4</w:t>
      </w:r>
      <w:r w:rsidRPr="00434349">
        <w:rPr>
          <w:rFonts w:asciiTheme="majorBidi" w:hAnsiTheme="majorBidi" w:cstheme="majorBidi"/>
          <w:i/>
          <w:iCs/>
        </w:rPr>
        <w:t xml:space="preserve">: </w:t>
      </w:r>
      <w:r>
        <w:rPr>
          <w:rFonts w:asciiTheme="majorBidi" w:hAnsiTheme="majorBidi" w:cstheme="majorBidi"/>
          <w:i/>
          <w:iCs/>
        </w:rPr>
        <w:t>Design overview</w:t>
      </w:r>
    </w:p>
    <w:p w14:paraId="58FC61B4" w14:textId="19FC8C7F" w:rsidR="00A14EB8" w:rsidRDefault="00A14EB8" w:rsidP="00511D2D">
      <w:pPr>
        <w:spacing w:line="480" w:lineRule="auto"/>
        <w:ind w:firstLine="720"/>
        <w:rPr>
          <w:rFonts w:ascii="Times New Roman" w:hAnsi="Times New Roman"/>
        </w:rPr>
      </w:pPr>
      <w:r w:rsidRPr="002208A3">
        <w:rPr>
          <w:rFonts w:ascii="Times New Roman" w:hAnsi="Times New Roman"/>
        </w:rPr>
        <w:t xml:space="preserve">In a between-subjects design, participants </w:t>
      </w:r>
      <w:r w:rsidR="003D0781">
        <w:rPr>
          <w:rFonts w:ascii="Times New Roman" w:hAnsi="Times New Roman"/>
        </w:rPr>
        <w:t>played</w:t>
      </w:r>
      <w:r w:rsidR="003D0781" w:rsidRPr="002208A3">
        <w:rPr>
          <w:rFonts w:ascii="Times New Roman" w:hAnsi="Times New Roman"/>
        </w:rPr>
        <w:t xml:space="preserve"> </w:t>
      </w:r>
      <w:r w:rsidRPr="002208A3">
        <w:rPr>
          <w:rFonts w:ascii="Times New Roman" w:hAnsi="Times New Roman"/>
        </w:rPr>
        <w:t xml:space="preserve">one of three versions of </w:t>
      </w:r>
      <w:r w:rsidR="003D0781">
        <w:rPr>
          <w:rFonts w:ascii="Times New Roman" w:hAnsi="Times New Roman"/>
        </w:rPr>
        <w:t>the SPD game. Participants were randomly assigned to either</w:t>
      </w:r>
      <w:r w:rsidR="003D0781" w:rsidRPr="002208A3">
        <w:rPr>
          <w:rFonts w:ascii="Times New Roman" w:hAnsi="Times New Roman"/>
        </w:rPr>
        <w:t xml:space="preserve"> </w:t>
      </w:r>
      <w:r w:rsidRPr="002208A3">
        <w:rPr>
          <w:rFonts w:ascii="Times New Roman" w:hAnsi="Times New Roman"/>
        </w:rPr>
        <w:t>a</w:t>
      </w:r>
      <w:r w:rsidR="003D0781">
        <w:rPr>
          <w:rFonts w:ascii="Times New Roman" w:hAnsi="Times New Roman"/>
        </w:rPr>
        <w:t>n SPD</w:t>
      </w:r>
      <w:r w:rsidRPr="002208A3">
        <w:rPr>
          <w:rFonts w:ascii="Times New Roman" w:hAnsi="Times New Roman"/>
        </w:rPr>
        <w:t xml:space="preserve"> with repeated </w:t>
      </w:r>
      <w:r>
        <w:rPr>
          <w:rFonts w:ascii="Times New Roman" w:hAnsi="Times New Roman"/>
        </w:rPr>
        <w:t>choices</w:t>
      </w:r>
      <w:r w:rsidRPr="002208A3">
        <w:rPr>
          <w:rFonts w:ascii="Times New Roman" w:hAnsi="Times New Roman"/>
        </w:rPr>
        <w:t>, a</w:t>
      </w:r>
      <w:r w:rsidR="003D0781">
        <w:rPr>
          <w:rFonts w:ascii="Times New Roman" w:hAnsi="Times New Roman"/>
        </w:rPr>
        <w:t>n</w:t>
      </w:r>
      <w:r w:rsidRPr="002208A3">
        <w:rPr>
          <w:rFonts w:ascii="Times New Roman" w:hAnsi="Times New Roman"/>
        </w:rPr>
        <w:t xml:space="preserve"> </w:t>
      </w:r>
      <w:r w:rsidR="009D64D0">
        <w:rPr>
          <w:rFonts w:ascii="Times New Roman" w:hAnsi="Times New Roman"/>
        </w:rPr>
        <w:lastRenderedPageBreak/>
        <w:t>SPD</w:t>
      </w:r>
      <w:r w:rsidRPr="002208A3">
        <w:rPr>
          <w:rFonts w:ascii="Times New Roman" w:hAnsi="Times New Roman"/>
        </w:rPr>
        <w:t xml:space="preserve"> with </w:t>
      </w:r>
      <w:r>
        <w:rPr>
          <w:rFonts w:ascii="Times New Roman" w:hAnsi="Times New Roman"/>
        </w:rPr>
        <w:t>binding precommitted choices</w:t>
      </w:r>
      <w:r w:rsidRPr="002208A3">
        <w:rPr>
          <w:rFonts w:ascii="Times New Roman" w:hAnsi="Times New Roman"/>
        </w:rPr>
        <w:t>, or a</w:t>
      </w:r>
      <w:r w:rsidR="009D64D0">
        <w:rPr>
          <w:rFonts w:ascii="Times New Roman" w:hAnsi="Times New Roman"/>
        </w:rPr>
        <w:t>n</w:t>
      </w:r>
      <w:r w:rsidRPr="002208A3">
        <w:rPr>
          <w:rFonts w:ascii="Times New Roman" w:hAnsi="Times New Roman"/>
        </w:rPr>
        <w:t xml:space="preserve"> </w:t>
      </w:r>
      <w:r w:rsidR="009D64D0">
        <w:rPr>
          <w:rFonts w:ascii="Times New Roman" w:hAnsi="Times New Roman"/>
        </w:rPr>
        <w:t>SPD</w:t>
      </w:r>
      <w:r w:rsidRPr="002208A3">
        <w:rPr>
          <w:rFonts w:ascii="Times New Roman" w:hAnsi="Times New Roman"/>
        </w:rPr>
        <w:t xml:space="preserve"> with </w:t>
      </w:r>
      <w:r>
        <w:rPr>
          <w:rFonts w:ascii="Times New Roman" w:hAnsi="Times New Roman"/>
        </w:rPr>
        <w:t xml:space="preserve">non-binding </w:t>
      </w:r>
      <w:r w:rsidRPr="002208A3">
        <w:rPr>
          <w:rFonts w:ascii="Times New Roman" w:hAnsi="Times New Roman"/>
        </w:rPr>
        <w:t xml:space="preserve">precommitted </w:t>
      </w:r>
      <w:r>
        <w:rPr>
          <w:rFonts w:ascii="Times New Roman" w:hAnsi="Times New Roman"/>
        </w:rPr>
        <w:t>choices</w:t>
      </w:r>
      <w:r w:rsidRPr="002208A3">
        <w:rPr>
          <w:rFonts w:ascii="Times New Roman" w:hAnsi="Times New Roman"/>
        </w:rPr>
        <w:t xml:space="preserve">. </w:t>
      </w:r>
      <w:r w:rsidR="00225C7C">
        <w:rPr>
          <w:rFonts w:ascii="Times New Roman" w:hAnsi="Times New Roman"/>
        </w:rPr>
        <w:t xml:space="preserve">As we elaborate later in the methods section, the difference between binding and non-binding precommitment conditions was that in the latter, participants could change their choices </w:t>
      </w:r>
      <w:r w:rsidR="009D64D0">
        <w:rPr>
          <w:rFonts w:ascii="Times New Roman" w:hAnsi="Times New Roman"/>
        </w:rPr>
        <w:t xml:space="preserve">each round, </w:t>
      </w:r>
      <w:r w:rsidR="00225C7C">
        <w:rPr>
          <w:rFonts w:ascii="Times New Roman" w:hAnsi="Times New Roman"/>
        </w:rPr>
        <w:t xml:space="preserve">even after precommitting them. </w:t>
      </w:r>
      <w:r>
        <w:rPr>
          <w:rFonts w:ascii="Times New Roman" w:hAnsi="Times New Roman"/>
        </w:rPr>
        <w:t>Participants played 3 blocks of 20 rounds each</w:t>
      </w:r>
      <w:r w:rsidRPr="002208A3">
        <w:rPr>
          <w:rFonts w:ascii="Times New Roman" w:hAnsi="Times New Roman"/>
        </w:rPr>
        <w:t>.</w:t>
      </w:r>
      <w:r>
        <w:rPr>
          <w:rFonts w:ascii="Times New Roman" w:hAnsi="Times New Roman"/>
        </w:rPr>
        <w:t xml:space="preserve"> </w:t>
      </w:r>
      <w:r w:rsidR="009D64D0">
        <w:rPr>
          <w:rFonts w:ascii="Times New Roman" w:hAnsi="Times New Roman"/>
        </w:rPr>
        <w:t>(</w:t>
      </w:r>
      <w:r>
        <w:rPr>
          <w:rFonts w:ascii="Times New Roman" w:hAnsi="Times New Roman"/>
        </w:rPr>
        <w:t>In this study, we used 3 blocks rather than 4 for brevity, to be sure the study would finish within a 30-minute timeslot.</w:t>
      </w:r>
      <w:r w:rsidR="009D64D0">
        <w:rPr>
          <w:rFonts w:ascii="Times New Roman" w:hAnsi="Times New Roman"/>
        </w:rPr>
        <w:t>)</w:t>
      </w:r>
      <w:r w:rsidRPr="002208A3">
        <w:rPr>
          <w:rFonts w:ascii="Times New Roman" w:hAnsi="Times New Roman"/>
        </w:rPr>
        <w:t xml:space="preserve"> </w:t>
      </w:r>
      <w:r w:rsidR="009D64D0">
        <w:rPr>
          <w:rFonts w:ascii="Times New Roman" w:hAnsi="Times New Roman"/>
        </w:rPr>
        <w:t xml:space="preserve">As in previous studies: participants were tested for knowledge before they could proceed, counterparts </w:t>
      </w:r>
      <w:r>
        <w:rPr>
          <w:rFonts w:ascii="Times New Roman" w:hAnsi="Times New Roman"/>
        </w:rPr>
        <w:t>for each block were anonymous</w:t>
      </w:r>
      <w:r w:rsidR="009D64D0">
        <w:rPr>
          <w:rFonts w:ascii="Times New Roman" w:hAnsi="Times New Roman"/>
        </w:rPr>
        <w:t xml:space="preserve">, </w:t>
      </w:r>
      <w:r>
        <w:rPr>
          <w:rFonts w:ascii="Times New Roman" w:hAnsi="Times New Roman"/>
        </w:rPr>
        <w:t>p</w:t>
      </w:r>
      <w:r w:rsidRPr="002208A3">
        <w:rPr>
          <w:rFonts w:ascii="Times New Roman" w:hAnsi="Times New Roman"/>
        </w:rPr>
        <w:t>articipants were randomly assigned a counterpart for each block</w:t>
      </w:r>
      <w:r>
        <w:rPr>
          <w:rFonts w:ascii="Times New Roman" w:hAnsi="Times New Roman"/>
        </w:rPr>
        <w:t xml:space="preserve"> (with replacement)</w:t>
      </w:r>
      <w:r w:rsidRPr="002208A3">
        <w:rPr>
          <w:rFonts w:ascii="Times New Roman" w:hAnsi="Times New Roman"/>
        </w:rPr>
        <w:t xml:space="preserve">, and </w:t>
      </w:r>
      <w:r w:rsidR="009D64D0">
        <w:rPr>
          <w:rFonts w:ascii="Times New Roman" w:hAnsi="Times New Roman"/>
        </w:rPr>
        <w:t xml:space="preserve">using an incentive-compatible design, </w:t>
      </w:r>
      <w:r w:rsidRPr="002208A3">
        <w:rPr>
          <w:rFonts w:ascii="Times New Roman" w:hAnsi="Times New Roman"/>
        </w:rPr>
        <w:t xml:space="preserve">one block was randomly selected and paid out for real money at the end of the study. </w:t>
      </w:r>
    </w:p>
    <w:p w14:paraId="653D1E17" w14:textId="41309E9B" w:rsidR="00A14EB8" w:rsidRPr="002208A3" w:rsidRDefault="00A14EB8" w:rsidP="00A14EB8">
      <w:pPr>
        <w:spacing w:line="480" w:lineRule="auto"/>
        <w:rPr>
          <w:rFonts w:ascii="Times New Roman" w:hAnsi="Times New Roman"/>
          <w:i/>
        </w:rPr>
      </w:pPr>
      <w:r w:rsidRPr="002208A3">
        <w:rPr>
          <w:rFonts w:ascii="Times New Roman" w:hAnsi="Times New Roman"/>
          <w:i/>
        </w:rPr>
        <w:t xml:space="preserve">Study </w:t>
      </w:r>
      <w:r w:rsidR="001C4FCC">
        <w:rPr>
          <w:rFonts w:ascii="Times New Roman" w:hAnsi="Times New Roman"/>
          <w:i/>
        </w:rPr>
        <w:t>4</w:t>
      </w:r>
      <w:r w:rsidRPr="002208A3">
        <w:rPr>
          <w:rFonts w:ascii="Times New Roman" w:hAnsi="Times New Roman"/>
          <w:i/>
        </w:rPr>
        <w:t xml:space="preserve">: </w:t>
      </w:r>
      <w:r>
        <w:rPr>
          <w:rFonts w:ascii="Times New Roman" w:hAnsi="Times New Roman"/>
          <w:i/>
        </w:rPr>
        <w:t>Methods</w:t>
      </w:r>
    </w:p>
    <w:p w14:paraId="2836CAD1" w14:textId="42E62B82" w:rsidR="00A14EB8" w:rsidRDefault="00A14EB8" w:rsidP="00A81A39">
      <w:pPr>
        <w:spacing w:line="480" w:lineRule="auto"/>
        <w:rPr>
          <w:rFonts w:ascii="Times New Roman" w:hAnsi="Times New Roman"/>
        </w:rPr>
      </w:pPr>
      <w:r>
        <w:rPr>
          <w:rFonts w:ascii="Times New Roman" w:hAnsi="Times New Roman"/>
        </w:rPr>
        <w:tab/>
        <w:t>160</w:t>
      </w:r>
      <w:r w:rsidRPr="002208A3">
        <w:rPr>
          <w:rFonts w:ascii="Times New Roman" w:hAnsi="Times New Roman"/>
        </w:rPr>
        <w:t xml:space="preserve"> participants (</w:t>
      </w:r>
      <w:r>
        <w:rPr>
          <w:rFonts w:ascii="Times New Roman" w:hAnsi="Times New Roman"/>
        </w:rPr>
        <w:t>70</w:t>
      </w:r>
      <w:r w:rsidRPr="002208A3">
        <w:rPr>
          <w:rFonts w:ascii="Times New Roman" w:hAnsi="Times New Roman"/>
        </w:rPr>
        <w:t>% female</w:t>
      </w:r>
      <w:r>
        <w:rPr>
          <w:rFonts w:ascii="Times New Roman" w:hAnsi="Times New Roman"/>
        </w:rPr>
        <w:t>, M</w:t>
      </w:r>
      <w:r>
        <w:rPr>
          <w:rFonts w:ascii="Times New Roman" w:hAnsi="Times New Roman"/>
          <w:vertAlign w:val="subscript"/>
        </w:rPr>
        <w:t xml:space="preserve">age </w:t>
      </w:r>
      <w:r>
        <w:rPr>
          <w:rFonts w:ascii="Times New Roman" w:hAnsi="Times New Roman"/>
        </w:rPr>
        <w:t>= 22.8</w:t>
      </w:r>
      <w:r w:rsidR="00EF5EEA">
        <w:rPr>
          <w:rFonts w:ascii="Times New Roman" w:hAnsi="Times New Roman"/>
        </w:rPr>
        <w:t>, SD = 5.31</w:t>
      </w:r>
      <w:r w:rsidRPr="002208A3">
        <w:rPr>
          <w:rFonts w:ascii="Times New Roman" w:hAnsi="Times New Roman"/>
        </w:rPr>
        <w:t xml:space="preserve">) were recruited for a study on Interdependent Security Games. </w:t>
      </w:r>
      <w:r w:rsidR="00453861">
        <w:rPr>
          <w:rFonts w:ascii="Times New Roman" w:hAnsi="Times New Roman"/>
        </w:rPr>
        <w:t xml:space="preserve">Participants were students and employees at </w:t>
      </w:r>
      <w:r w:rsidR="000A0FC8">
        <w:rPr>
          <w:rFonts w:ascii="Times New Roman" w:hAnsi="Times New Roman"/>
        </w:rPr>
        <w:t>a different</w:t>
      </w:r>
      <w:r w:rsidR="00453861">
        <w:rPr>
          <w:rFonts w:ascii="Times New Roman" w:hAnsi="Times New Roman"/>
        </w:rPr>
        <w:t xml:space="preserve"> North American University. </w:t>
      </w:r>
      <w:r w:rsidR="0093373E">
        <w:rPr>
          <w:rFonts w:ascii="Times New Roman" w:hAnsi="Times New Roman"/>
        </w:rPr>
        <w:t>As in previous studies, participants learned that they would earn 8,500 Rp per round, and face the chance of suffering a large loss each round according to</w:t>
      </w:r>
      <w:r w:rsidR="00A85CBD">
        <w:rPr>
          <w:rFonts w:ascii="Times New Roman" w:hAnsi="Times New Roman"/>
        </w:rPr>
        <w:t xml:space="preserve"> </w:t>
      </w:r>
      <w:r w:rsidR="0093373E">
        <w:rPr>
          <w:rFonts w:ascii="Times New Roman" w:hAnsi="Times New Roman"/>
        </w:rPr>
        <w:t xml:space="preserve">the </w:t>
      </w:r>
      <w:r w:rsidR="00A81A39">
        <w:rPr>
          <w:rFonts w:ascii="Times New Roman" w:hAnsi="Times New Roman"/>
        </w:rPr>
        <w:t>payoff matrix is shown in Table 5.</w:t>
      </w:r>
      <w:r w:rsidR="009D64D0">
        <w:rPr>
          <w:rFonts w:ascii="Times New Roman" w:hAnsi="Times New Roman"/>
        </w:rPr>
        <w:t xml:space="preserve"> (The </w:t>
      </w:r>
      <w:r w:rsidR="0093373E">
        <w:rPr>
          <w:rFonts w:ascii="Times New Roman" w:hAnsi="Times New Roman"/>
        </w:rPr>
        <w:t xml:space="preserve">numbers and probabilities are the same as previous studies but the </w:t>
      </w:r>
      <w:r w:rsidR="009D64D0">
        <w:rPr>
          <w:rFonts w:ascii="Times New Roman" w:hAnsi="Times New Roman"/>
        </w:rPr>
        <w:t>wording is slightly different.)</w:t>
      </w:r>
      <w:r w:rsidR="00A81A39">
        <w:rPr>
          <w:rFonts w:ascii="Times New Roman" w:hAnsi="Times New Roman"/>
        </w:rPr>
        <w:t xml:space="preserve"> </w:t>
      </w:r>
    </w:p>
    <w:p w14:paraId="590F7736" w14:textId="014187F0" w:rsidR="00A14EB8" w:rsidRPr="00C40E99" w:rsidRDefault="00A14EB8" w:rsidP="00A14EB8">
      <w:pPr>
        <w:spacing w:line="480" w:lineRule="auto"/>
        <w:rPr>
          <w:rFonts w:ascii="Times New Roman" w:hAnsi="Times New Roman"/>
          <w:i/>
          <w:iCs/>
        </w:rPr>
      </w:pPr>
      <w:r w:rsidRPr="00C40E99">
        <w:rPr>
          <w:rFonts w:ascii="Times New Roman" w:hAnsi="Times New Roman"/>
          <w:i/>
          <w:iCs/>
        </w:rPr>
        <w:t xml:space="preserve">Table </w:t>
      </w:r>
      <w:r>
        <w:rPr>
          <w:rFonts w:ascii="Times New Roman" w:hAnsi="Times New Roman"/>
          <w:i/>
          <w:iCs/>
        </w:rPr>
        <w:t>5</w:t>
      </w:r>
      <w:r w:rsidRPr="00C40E99">
        <w:rPr>
          <w:rFonts w:ascii="Times New Roman" w:hAnsi="Times New Roman"/>
          <w:i/>
          <w:iCs/>
        </w:rPr>
        <w:t xml:space="preserve">. Payoff matrix shown to participants in Study </w:t>
      </w:r>
      <w:r w:rsidR="00F22135">
        <w:rPr>
          <w:rFonts w:ascii="Times New Roman" w:hAnsi="Times New Roman"/>
          <w:i/>
          <w:iCs/>
        </w:rPr>
        <w:t>4</w:t>
      </w:r>
      <w:r w:rsidRPr="00C40E99">
        <w:rPr>
          <w:rFonts w:ascii="Times New Roman" w:hAnsi="Times New Roman"/>
          <w:i/>
          <w:iCs/>
        </w:rPr>
        <w:t xml:space="preserve">. </w:t>
      </w:r>
    </w:p>
    <w:tbl>
      <w:tblPr>
        <w:tblStyle w:val="TableGrid1"/>
        <w:tblW w:w="0" w:type="auto"/>
        <w:tblLook w:val="01E0" w:firstRow="1" w:lastRow="1" w:firstColumn="1" w:lastColumn="1" w:noHBand="0" w:noVBand="0"/>
      </w:tblPr>
      <w:tblGrid>
        <w:gridCol w:w="646"/>
        <w:gridCol w:w="1248"/>
        <w:gridCol w:w="3145"/>
        <w:gridCol w:w="3591"/>
      </w:tblGrid>
      <w:tr w:rsidR="00A14EB8" w:rsidRPr="007C269D" w14:paraId="620DD365" w14:textId="77777777" w:rsidTr="002B1DB7">
        <w:tc>
          <w:tcPr>
            <w:tcW w:w="1908" w:type="dxa"/>
            <w:gridSpan w:val="2"/>
            <w:vMerge w:val="restart"/>
          </w:tcPr>
          <w:p w14:paraId="415D30CD" w14:textId="77777777" w:rsidR="00A14EB8" w:rsidRPr="007C269D" w:rsidRDefault="00A14EB8" w:rsidP="002B1DB7">
            <w:pPr>
              <w:autoSpaceDE w:val="0"/>
              <w:autoSpaceDN w:val="0"/>
              <w:adjustRightInd w:val="0"/>
              <w:spacing w:after="200" w:line="276" w:lineRule="auto"/>
              <w:rPr>
                <w:rFonts w:ascii="Times New Roman" w:hAnsi="Times New Roman" w:cs="Times New Roman"/>
                <w:sz w:val="22"/>
                <w:szCs w:val="22"/>
              </w:rPr>
            </w:pPr>
          </w:p>
        </w:tc>
        <w:tc>
          <w:tcPr>
            <w:tcW w:w="6948" w:type="dxa"/>
            <w:gridSpan w:val="2"/>
          </w:tcPr>
          <w:p w14:paraId="2F260EAD" w14:textId="77777777" w:rsidR="00A14EB8" w:rsidRPr="007C269D" w:rsidRDefault="00A14EB8" w:rsidP="002B1DB7">
            <w:pPr>
              <w:autoSpaceDE w:val="0"/>
              <w:autoSpaceDN w:val="0"/>
              <w:adjustRightInd w:val="0"/>
              <w:spacing w:after="200" w:line="276" w:lineRule="auto"/>
              <w:jc w:val="center"/>
              <w:rPr>
                <w:rFonts w:ascii="Times New Roman" w:hAnsi="Times New Roman" w:cs="Times New Roman"/>
                <w:sz w:val="22"/>
                <w:szCs w:val="22"/>
              </w:rPr>
            </w:pPr>
            <w:r w:rsidRPr="007C269D">
              <w:rPr>
                <w:rFonts w:ascii="Times New Roman" w:hAnsi="Times New Roman" w:cs="Times New Roman"/>
                <w:sz w:val="22"/>
                <w:szCs w:val="22"/>
              </w:rPr>
              <w:t>Your Counterpart</w:t>
            </w:r>
          </w:p>
        </w:tc>
      </w:tr>
      <w:tr w:rsidR="00A14EB8" w:rsidRPr="007C269D" w14:paraId="7987F8A0" w14:textId="77777777" w:rsidTr="002B1DB7">
        <w:tc>
          <w:tcPr>
            <w:tcW w:w="1908" w:type="dxa"/>
            <w:gridSpan w:val="2"/>
            <w:vMerge/>
          </w:tcPr>
          <w:p w14:paraId="4773ADA5" w14:textId="77777777" w:rsidR="00A14EB8" w:rsidRPr="007C269D" w:rsidRDefault="00A14EB8" w:rsidP="002B1DB7">
            <w:pPr>
              <w:autoSpaceDE w:val="0"/>
              <w:autoSpaceDN w:val="0"/>
              <w:adjustRightInd w:val="0"/>
              <w:spacing w:after="200" w:line="276" w:lineRule="auto"/>
              <w:rPr>
                <w:rFonts w:ascii="Times New Roman" w:hAnsi="Times New Roman" w:cs="Times New Roman"/>
                <w:sz w:val="22"/>
                <w:szCs w:val="22"/>
              </w:rPr>
            </w:pPr>
          </w:p>
        </w:tc>
        <w:tc>
          <w:tcPr>
            <w:tcW w:w="3240" w:type="dxa"/>
          </w:tcPr>
          <w:p w14:paraId="3BD9789F" w14:textId="77777777" w:rsidR="00A14EB8" w:rsidRPr="007C269D" w:rsidRDefault="00A14EB8" w:rsidP="002B1DB7">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INVEST</w:t>
            </w:r>
          </w:p>
        </w:tc>
        <w:tc>
          <w:tcPr>
            <w:tcW w:w="3708" w:type="dxa"/>
          </w:tcPr>
          <w:p w14:paraId="20F531E6" w14:textId="77777777" w:rsidR="00A14EB8" w:rsidRPr="007C269D" w:rsidRDefault="00A14EB8" w:rsidP="002B1DB7">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NOT INVEST</w:t>
            </w:r>
          </w:p>
        </w:tc>
      </w:tr>
      <w:tr w:rsidR="00A14EB8" w:rsidRPr="007C269D" w14:paraId="28FCC134" w14:textId="77777777" w:rsidTr="002B1DB7">
        <w:tc>
          <w:tcPr>
            <w:tcW w:w="648" w:type="dxa"/>
            <w:vMerge w:val="restart"/>
          </w:tcPr>
          <w:p w14:paraId="705A1B8A" w14:textId="77777777" w:rsidR="00A14EB8" w:rsidRPr="007C269D" w:rsidRDefault="00A14EB8" w:rsidP="002B1DB7">
            <w:pPr>
              <w:autoSpaceDE w:val="0"/>
              <w:autoSpaceDN w:val="0"/>
              <w:adjustRightInd w:val="0"/>
              <w:spacing w:after="200" w:line="276" w:lineRule="auto"/>
              <w:rPr>
                <w:rFonts w:ascii="Times New Roman" w:hAnsi="Times New Roman" w:cs="Times New Roman"/>
                <w:sz w:val="22"/>
                <w:szCs w:val="22"/>
              </w:rPr>
            </w:pPr>
          </w:p>
          <w:p w14:paraId="4BDF826E" w14:textId="77777777" w:rsidR="00A14EB8" w:rsidRPr="007C269D" w:rsidRDefault="00A14EB8" w:rsidP="002B1DB7">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You</w:t>
            </w:r>
          </w:p>
        </w:tc>
        <w:tc>
          <w:tcPr>
            <w:tcW w:w="1260" w:type="dxa"/>
          </w:tcPr>
          <w:p w14:paraId="589B9532" w14:textId="77777777" w:rsidR="00A14EB8" w:rsidRPr="007C269D" w:rsidRDefault="00A14EB8" w:rsidP="002B1DB7">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INVEST</w:t>
            </w:r>
          </w:p>
        </w:tc>
        <w:tc>
          <w:tcPr>
            <w:tcW w:w="3240" w:type="dxa"/>
          </w:tcPr>
          <w:p w14:paraId="63B773D5" w14:textId="77777777" w:rsidR="00A14EB8" w:rsidRPr="007C269D" w:rsidRDefault="00A14EB8" w:rsidP="002B1DB7">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 xml:space="preserve">- You definitely lose </w:t>
            </w:r>
            <w:r w:rsidRPr="007C269D">
              <w:rPr>
                <w:rFonts w:ascii="Times New Roman" w:hAnsi="Times New Roman" w:cs="Times New Roman"/>
                <w:b/>
                <w:bCs/>
                <w:sz w:val="22"/>
                <w:szCs w:val="22"/>
              </w:rPr>
              <w:t>1,400 Rp</w:t>
            </w:r>
            <w:r w:rsidRPr="007C269D">
              <w:rPr>
                <w:rFonts w:ascii="Times New Roman" w:hAnsi="Times New Roman" w:cs="Times New Roman"/>
                <w:sz w:val="22"/>
                <w:szCs w:val="22"/>
              </w:rPr>
              <w:t>, and have a 0% chance of the large loss occurring.</w:t>
            </w:r>
            <w:r w:rsidRPr="007C269D">
              <w:rPr>
                <w:rFonts w:ascii="Times New Roman" w:hAnsi="Times New Roman" w:cs="Times New Roman"/>
                <w:sz w:val="22"/>
                <w:szCs w:val="22"/>
              </w:rPr>
              <w:br/>
            </w:r>
            <w:r w:rsidRPr="007C269D">
              <w:rPr>
                <w:rFonts w:ascii="Times New Roman" w:hAnsi="Times New Roman" w:cs="Times New Roman"/>
                <w:sz w:val="22"/>
                <w:szCs w:val="22"/>
              </w:rPr>
              <w:br/>
              <w:t xml:space="preserve">- Your counterpart definitely loses </w:t>
            </w:r>
            <w:r w:rsidRPr="007C269D">
              <w:rPr>
                <w:rFonts w:ascii="Times New Roman" w:hAnsi="Times New Roman" w:cs="Times New Roman"/>
                <w:b/>
                <w:bCs/>
                <w:sz w:val="22"/>
                <w:szCs w:val="22"/>
              </w:rPr>
              <w:t>1,400 Rp</w:t>
            </w:r>
            <w:r w:rsidRPr="007C269D">
              <w:rPr>
                <w:rFonts w:ascii="Times New Roman" w:hAnsi="Times New Roman" w:cs="Times New Roman"/>
                <w:sz w:val="22"/>
                <w:szCs w:val="22"/>
              </w:rPr>
              <w:t xml:space="preserve">, and has a 0% </w:t>
            </w:r>
            <w:r w:rsidRPr="007C269D">
              <w:rPr>
                <w:rFonts w:ascii="Times New Roman" w:hAnsi="Times New Roman" w:cs="Times New Roman"/>
                <w:sz w:val="22"/>
                <w:szCs w:val="22"/>
              </w:rPr>
              <w:lastRenderedPageBreak/>
              <w:t>chance of the large loss occurring.</w:t>
            </w:r>
          </w:p>
        </w:tc>
        <w:tc>
          <w:tcPr>
            <w:tcW w:w="3708" w:type="dxa"/>
          </w:tcPr>
          <w:p w14:paraId="0FE395F6" w14:textId="77777777" w:rsidR="00A14EB8" w:rsidRPr="007C269D" w:rsidRDefault="00A14EB8" w:rsidP="002B1DB7">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lastRenderedPageBreak/>
              <w:t xml:space="preserve">- You definitely lose </w:t>
            </w:r>
            <w:r w:rsidRPr="007C269D">
              <w:rPr>
                <w:rFonts w:ascii="Times New Roman" w:hAnsi="Times New Roman" w:cs="Times New Roman"/>
                <w:b/>
                <w:bCs/>
                <w:sz w:val="22"/>
                <w:szCs w:val="22"/>
              </w:rPr>
              <w:t>1,400 Rp</w:t>
            </w:r>
            <w:r w:rsidRPr="007C269D">
              <w:rPr>
                <w:rFonts w:ascii="Times New Roman" w:hAnsi="Times New Roman" w:cs="Times New Roman"/>
                <w:sz w:val="22"/>
                <w:szCs w:val="22"/>
              </w:rPr>
              <w:t xml:space="preserve"> and have a 1% chance of losing an additional </w:t>
            </w:r>
            <w:r w:rsidRPr="007C269D">
              <w:rPr>
                <w:rFonts w:ascii="Times New Roman" w:hAnsi="Times New Roman" w:cs="Times New Roman"/>
                <w:b/>
                <w:bCs/>
                <w:sz w:val="22"/>
                <w:szCs w:val="22"/>
              </w:rPr>
              <w:t>40,000 Rp</w:t>
            </w:r>
            <w:r w:rsidRPr="007C269D">
              <w:rPr>
                <w:rFonts w:ascii="Times New Roman" w:hAnsi="Times New Roman" w:cs="Times New Roman"/>
                <w:sz w:val="22"/>
                <w:szCs w:val="22"/>
              </w:rPr>
              <w:t>.</w:t>
            </w:r>
            <w:r w:rsidRPr="007C269D">
              <w:rPr>
                <w:rFonts w:ascii="Times New Roman" w:hAnsi="Times New Roman" w:cs="Times New Roman"/>
                <w:sz w:val="22"/>
                <w:szCs w:val="22"/>
              </w:rPr>
              <w:br/>
            </w:r>
            <w:r w:rsidRPr="007C269D">
              <w:rPr>
                <w:rFonts w:ascii="Times New Roman" w:hAnsi="Times New Roman" w:cs="Times New Roman"/>
                <w:sz w:val="22"/>
                <w:szCs w:val="22"/>
              </w:rPr>
              <w:br/>
              <w:t xml:space="preserve">- Your counterpart has a 3% chance </w:t>
            </w:r>
            <w:r w:rsidRPr="007C269D">
              <w:rPr>
                <w:rFonts w:ascii="Times New Roman" w:hAnsi="Times New Roman" w:cs="Times New Roman"/>
                <w:sz w:val="22"/>
                <w:szCs w:val="22"/>
              </w:rPr>
              <w:lastRenderedPageBreak/>
              <w:t xml:space="preserve">of losing </w:t>
            </w:r>
            <w:r w:rsidRPr="007C269D">
              <w:rPr>
                <w:rFonts w:ascii="Times New Roman" w:hAnsi="Times New Roman" w:cs="Times New Roman"/>
                <w:b/>
                <w:bCs/>
                <w:sz w:val="22"/>
                <w:szCs w:val="22"/>
              </w:rPr>
              <w:t>40,000 Rp</w:t>
            </w:r>
            <w:r w:rsidRPr="007C269D">
              <w:rPr>
                <w:rFonts w:ascii="Times New Roman" w:hAnsi="Times New Roman" w:cs="Times New Roman"/>
                <w:sz w:val="22"/>
                <w:szCs w:val="22"/>
              </w:rPr>
              <w:t xml:space="preserve"> and a 97% chance of losing </w:t>
            </w:r>
            <w:r w:rsidRPr="007C269D">
              <w:rPr>
                <w:rFonts w:ascii="Times New Roman" w:hAnsi="Times New Roman" w:cs="Times New Roman"/>
                <w:b/>
                <w:bCs/>
                <w:sz w:val="22"/>
                <w:szCs w:val="22"/>
              </w:rPr>
              <w:t>0 Rp</w:t>
            </w:r>
            <w:r w:rsidRPr="007C269D">
              <w:rPr>
                <w:rFonts w:ascii="Times New Roman" w:hAnsi="Times New Roman" w:cs="Times New Roman"/>
                <w:bCs/>
                <w:sz w:val="22"/>
                <w:szCs w:val="22"/>
              </w:rPr>
              <w:t>.</w:t>
            </w:r>
          </w:p>
        </w:tc>
      </w:tr>
      <w:tr w:rsidR="00A14EB8" w:rsidRPr="007C269D" w14:paraId="149ACDCC" w14:textId="77777777" w:rsidTr="002B1DB7">
        <w:tc>
          <w:tcPr>
            <w:tcW w:w="648" w:type="dxa"/>
            <w:vMerge/>
          </w:tcPr>
          <w:p w14:paraId="038CC2A2" w14:textId="77777777" w:rsidR="00A14EB8" w:rsidRPr="007C269D" w:rsidRDefault="00A14EB8" w:rsidP="002B1DB7">
            <w:pPr>
              <w:autoSpaceDE w:val="0"/>
              <w:autoSpaceDN w:val="0"/>
              <w:adjustRightInd w:val="0"/>
              <w:spacing w:after="200" w:line="276" w:lineRule="auto"/>
              <w:rPr>
                <w:rFonts w:ascii="Times New Roman" w:hAnsi="Times New Roman" w:cs="Times New Roman"/>
                <w:sz w:val="22"/>
                <w:szCs w:val="22"/>
              </w:rPr>
            </w:pPr>
          </w:p>
        </w:tc>
        <w:tc>
          <w:tcPr>
            <w:tcW w:w="1260" w:type="dxa"/>
          </w:tcPr>
          <w:p w14:paraId="4A13730E" w14:textId="77777777" w:rsidR="00A14EB8" w:rsidRPr="007C269D" w:rsidRDefault="00A14EB8" w:rsidP="002B1DB7">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NOT INVEST</w:t>
            </w:r>
          </w:p>
        </w:tc>
        <w:tc>
          <w:tcPr>
            <w:tcW w:w="3240" w:type="dxa"/>
          </w:tcPr>
          <w:p w14:paraId="6731AE62" w14:textId="77777777" w:rsidR="00A14EB8" w:rsidRPr="007C269D" w:rsidRDefault="00A14EB8" w:rsidP="002B1DB7">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 xml:space="preserve">- You have a 3% chance of losing </w:t>
            </w:r>
            <w:r w:rsidRPr="007C269D">
              <w:rPr>
                <w:rFonts w:ascii="Times New Roman" w:hAnsi="Times New Roman" w:cs="Times New Roman"/>
                <w:b/>
                <w:bCs/>
                <w:sz w:val="22"/>
                <w:szCs w:val="22"/>
              </w:rPr>
              <w:t>40,000 Rp</w:t>
            </w:r>
            <w:r w:rsidRPr="007C269D">
              <w:rPr>
                <w:rFonts w:ascii="Times New Roman" w:hAnsi="Times New Roman" w:cs="Times New Roman"/>
                <w:sz w:val="22"/>
                <w:szCs w:val="22"/>
              </w:rPr>
              <w:t xml:space="preserve"> and a 97% chance of losing </w:t>
            </w:r>
            <w:r w:rsidRPr="007C269D">
              <w:rPr>
                <w:rFonts w:ascii="Times New Roman" w:hAnsi="Times New Roman" w:cs="Times New Roman"/>
                <w:b/>
                <w:bCs/>
                <w:sz w:val="22"/>
                <w:szCs w:val="22"/>
              </w:rPr>
              <w:t>0 Rp</w:t>
            </w:r>
            <w:r w:rsidRPr="007C269D">
              <w:rPr>
                <w:rFonts w:ascii="Times New Roman" w:hAnsi="Times New Roman" w:cs="Times New Roman"/>
                <w:sz w:val="22"/>
                <w:szCs w:val="22"/>
              </w:rPr>
              <w:t>.</w:t>
            </w:r>
            <w:r w:rsidRPr="007C269D">
              <w:rPr>
                <w:rFonts w:ascii="Times New Roman" w:hAnsi="Times New Roman" w:cs="Times New Roman"/>
                <w:sz w:val="22"/>
                <w:szCs w:val="22"/>
              </w:rPr>
              <w:br/>
            </w:r>
            <w:r w:rsidRPr="007C269D">
              <w:rPr>
                <w:rFonts w:ascii="Times New Roman" w:hAnsi="Times New Roman" w:cs="Times New Roman"/>
                <w:sz w:val="22"/>
                <w:szCs w:val="22"/>
              </w:rPr>
              <w:br/>
              <w:t xml:space="preserve">- Your counterpart definitely loses </w:t>
            </w:r>
            <w:r w:rsidRPr="007C269D">
              <w:rPr>
                <w:rFonts w:ascii="Times New Roman" w:hAnsi="Times New Roman" w:cs="Times New Roman"/>
                <w:b/>
                <w:bCs/>
                <w:sz w:val="22"/>
                <w:szCs w:val="22"/>
              </w:rPr>
              <w:t>1,400 Rp</w:t>
            </w:r>
            <w:r w:rsidRPr="007C269D">
              <w:rPr>
                <w:rFonts w:ascii="Times New Roman" w:hAnsi="Times New Roman" w:cs="Times New Roman"/>
                <w:sz w:val="22"/>
                <w:szCs w:val="22"/>
              </w:rPr>
              <w:t xml:space="preserve"> and has a 1% chance of losing an additional </w:t>
            </w:r>
            <w:r w:rsidRPr="007C269D">
              <w:rPr>
                <w:rFonts w:ascii="Times New Roman" w:hAnsi="Times New Roman" w:cs="Times New Roman"/>
                <w:b/>
                <w:bCs/>
                <w:sz w:val="22"/>
                <w:szCs w:val="22"/>
              </w:rPr>
              <w:t>40,000 Rp</w:t>
            </w:r>
            <w:r w:rsidRPr="007C269D">
              <w:rPr>
                <w:rFonts w:ascii="Times New Roman" w:hAnsi="Times New Roman" w:cs="Times New Roman"/>
                <w:sz w:val="22"/>
                <w:szCs w:val="22"/>
              </w:rPr>
              <w:t>.</w:t>
            </w:r>
          </w:p>
        </w:tc>
        <w:tc>
          <w:tcPr>
            <w:tcW w:w="3708" w:type="dxa"/>
          </w:tcPr>
          <w:p w14:paraId="77FBDEAF" w14:textId="77777777" w:rsidR="00A14EB8" w:rsidRPr="007C269D" w:rsidRDefault="00A14EB8" w:rsidP="002B1DB7">
            <w:pPr>
              <w:autoSpaceDE w:val="0"/>
              <w:autoSpaceDN w:val="0"/>
              <w:adjustRightInd w:val="0"/>
              <w:spacing w:after="200" w:line="276" w:lineRule="auto"/>
              <w:rPr>
                <w:rFonts w:ascii="Times New Roman" w:hAnsi="Times New Roman" w:cs="Times New Roman"/>
                <w:sz w:val="22"/>
                <w:szCs w:val="22"/>
              </w:rPr>
            </w:pPr>
            <w:r w:rsidRPr="007C269D">
              <w:rPr>
                <w:rFonts w:ascii="Times New Roman" w:hAnsi="Times New Roman" w:cs="Times New Roman"/>
                <w:sz w:val="22"/>
                <w:szCs w:val="22"/>
              </w:rPr>
              <w:t xml:space="preserve">- You have a 4% chance of losing </w:t>
            </w:r>
            <w:r w:rsidRPr="007C269D">
              <w:rPr>
                <w:rFonts w:ascii="Times New Roman" w:hAnsi="Times New Roman" w:cs="Times New Roman"/>
                <w:b/>
                <w:bCs/>
                <w:sz w:val="22"/>
                <w:szCs w:val="22"/>
              </w:rPr>
              <w:t>40,000 Rp</w:t>
            </w:r>
            <w:r w:rsidRPr="007C269D">
              <w:rPr>
                <w:rFonts w:ascii="Times New Roman" w:hAnsi="Times New Roman" w:cs="Times New Roman"/>
                <w:sz w:val="22"/>
                <w:szCs w:val="22"/>
              </w:rPr>
              <w:t xml:space="preserve"> and a 96% chance of losing </w:t>
            </w:r>
            <w:r w:rsidRPr="007C269D">
              <w:rPr>
                <w:rFonts w:ascii="Times New Roman" w:hAnsi="Times New Roman" w:cs="Times New Roman"/>
                <w:b/>
                <w:bCs/>
                <w:sz w:val="22"/>
                <w:szCs w:val="22"/>
              </w:rPr>
              <w:t>0 Rp</w:t>
            </w:r>
            <w:r w:rsidRPr="007C269D">
              <w:rPr>
                <w:rFonts w:ascii="Times New Roman" w:hAnsi="Times New Roman" w:cs="Times New Roman"/>
                <w:sz w:val="22"/>
                <w:szCs w:val="22"/>
              </w:rPr>
              <w:t>.</w:t>
            </w:r>
            <w:r w:rsidRPr="007C269D">
              <w:rPr>
                <w:rFonts w:ascii="Times New Roman" w:hAnsi="Times New Roman" w:cs="Times New Roman"/>
                <w:sz w:val="22"/>
                <w:szCs w:val="22"/>
              </w:rPr>
              <w:br/>
            </w:r>
            <w:r w:rsidRPr="007C269D">
              <w:rPr>
                <w:rFonts w:ascii="Times New Roman" w:hAnsi="Times New Roman" w:cs="Times New Roman"/>
                <w:sz w:val="22"/>
                <w:szCs w:val="22"/>
              </w:rPr>
              <w:br/>
              <w:t xml:space="preserve">- Your counterpart has a 4% chance of losing </w:t>
            </w:r>
            <w:r w:rsidRPr="007C269D">
              <w:rPr>
                <w:rFonts w:ascii="Times New Roman" w:hAnsi="Times New Roman" w:cs="Times New Roman"/>
                <w:b/>
                <w:bCs/>
                <w:sz w:val="22"/>
                <w:szCs w:val="22"/>
              </w:rPr>
              <w:t>40,000 Rp</w:t>
            </w:r>
            <w:r w:rsidRPr="007C269D">
              <w:rPr>
                <w:rFonts w:ascii="Times New Roman" w:hAnsi="Times New Roman" w:cs="Times New Roman"/>
                <w:sz w:val="22"/>
                <w:szCs w:val="22"/>
              </w:rPr>
              <w:t xml:space="preserve"> and a 96% chance of losing </w:t>
            </w:r>
            <w:r w:rsidRPr="007C269D">
              <w:rPr>
                <w:rFonts w:ascii="Times New Roman" w:hAnsi="Times New Roman" w:cs="Times New Roman"/>
                <w:b/>
                <w:bCs/>
                <w:sz w:val="22"/>
                <w:szCs w:val="22"/>
              </w:rPr>
              <w:t>0 Rp</w:t>
            </w:r>
            <w:r w:rsidRPr="007C269D">
              <w:rPr>
                <w:rFonts w:ascii="Times New Roman" w:hAnsi="Times New Roman" w:cs="Times New Roman"/>
                <w:sz w:val="22"/>
                <w:szCs w:val="22"/>
              </w:rPr>
              <w:t>.</w:t>
            </w:r>
          </w:p>
        </w:tc>
      </w:tr>
    </w:tbl>
    <w:p w14:paraId="11D5C615" w14:textId="77777777" w:rsidR="00A14EB8" w:rsidRPr="007C269D" w:rsidRDefault="00A14EB8" w:rsidP="00A14EB8">
      <w:pPr>
        <w:spacing w:line="480" w:lineRule="auto"/>
        <w:rPr>
          <w:rFonts w:ascii="Times New Roman" w:hAnsi="Times New Roman"/>
        </w:rPr>
      </w:pPr>
    </w:p>
    <w:p w14:paraId="57C74BB6" w14:textId="6640C634" w:rsidR="00A14EB8" w:rsidRPr="002208A3" w:rsidRDefault="00A14EB8" w:rsidP="00A14EB8">
      <w:pPr>
        <w:spacing w:line="480" w:lineRule="auto"/>
        <w:rPr>
          <w:rFonts w:ascii="Times New Roman" w:hAnsi="Times New Roman"/>
        </w:rPr>
      </w:pPr>
      <w:r w:rsidRPr="002208A3">
        <w:rPr>
          <w:rFonts w:ascii="Times New Roman" w:hAnsi="Times New Roman"/>
        </w:rPr>
        <w:tab/>
      </w:r>
      <w:r w:rsidR="00555CB2">
        <w:rPr>
          <w:rFonts w:ascii="Times New Roman" w:hAnsi="Times New Roman"/>
        </w:rPr>
        <w:t xml:space="preserve">Participants in the repeated-choice </w:t>
      </w:r>
      <w:r w:rsidR="000F7E36">
        <w:rPr>
          <w:rFonts w:ascii="Times New Roman" w:hAnsi="Times New Roman"/>
        </w:rPr>
        <w:t xml:space="preserve">SPD </w:t>
      </w:r>
      <w:r w:rsidR="00555CB2">
        <w:rPr>
          <w:rFonts w:ascii="Times New Roman" w:hAnsi="Times New Roman"/>
        </w:rPr>
        <w:t xml:space="preserve">condition and those in the binding precommitment </w:t>
      </w:r>
      <w:r w:rsidR="000F7E36">
        <w:rPr>
          <w:rFonts w:ascii="Times New Roman" w:hAnsi="Times New Roman"/>
        </w:rPr>
        <w:t xml:space="preserve">SPD </w:t>
      </w:r>
      <w:r w:rsidR="00555CB2">
        <w:rPr>
          <w:rFonts w:ascii="Times New Roman" w:hAnsi="Times New Roman"/>
        </w:rPr>
        <w:t xml:space="preserve">condition followed an </w:t>
      </w:r>
      <w:proofErr w:type="gramStart"/>
      <w:r w:rsidR="00555CB2">
        <w:rPr>
          <w:rFonts w:ascii="Times New Roman" w:hAnsi="Times New Roman"/>
        </w:rPr>
        <w:t>identical procedure</w:t>
      </w:r>
      <w:r w:rsidR="000F7E36">
        <w:rPr>
          <w:rFonts w:ascii="Times New Roman" w:hAnsi="Times New Roman"/>
        </w:rPr>
        <w:t>s</w:t>
      </w:r>
      <w:proofErr w:type="gramEnd"/>
      <w:r w:rsidR="00555CB2">
        <w:rPr>
          <w:rFonts w:ascii="Times New Roman" w:hAnsi="Times New Roman"/>
        </w:rPr>
        <w:t xml:space="preserve"> to those in the SPD-rep and SPD-pre conditions in Study 1. </w:t>
      </w:r>
      <w:r w:rsidRPr="002208A3">
        <w:rPr>
          <w:rFonts w:ascii="Times New Roman" w:hAnsi="Times New Roman"/>
        </w:rPr>
        <w:t xml:space="preserve">Participants in </w:t>
      </w:r>
      <w:r w:rsidR="00555CB2">
        <w:rPr>
          <w:rFonts w:ascii="Times New Roman" w:hAnsi="Times New Roman"/>
        </w:rPr>
        <w:t xml:space="preserve">the </w:t>
      </w:r>
      <w:r>
        <w:rPr>
          <w:rFonts w:ascii="Times New Roman" w:hAnsi="Times New Roman"/>
        </w:rPr>
        <w:t>non-binding precommitment condition</w:t>
      </w:r>
      <w:r w:rsidRPr="002208A3">
        <w:rPr>
          <w:rFonts w:ascii="Times New Roman" w:hAnsi="Times New Roman"/>
        </w:rPr>
        <w:t xml:space="preserve"> </w:t>
      </w:r>
      <w:r w:rsidR="00555CB2">
        <w:rPr>
          <w:rFonts w:ascii="Times New Roman" w:hAnsi="Times New Roman"/>
        </w:rPr>
        <w:t xml:space="preserve">first </w:t>
      </w:r>
      <w:r w:rsidRPr="002208A3">
        <w:rPr>
          <w:rFonts w:ascii="Times New Roman" w:hAnsi="Times New Roman"/>
        </w:rPr>
        <w:t>made choice</w:t>
      </w:r>
      <w:r w:rsidR="00555CB2">
        <w:rPr>
          <w:rFonts w:ascii="Times New Roman" w:hAnsi="Times New Roman"/>
        </w:rPr>
        <w:t>s</w:t>
      </w:r>
      <w:r w:rsidRPr="002208A3">
        <w:rPr>
          <w:rFonts w:ascii="Times New Roman" w:hAnsi="Times New Roman"/>
        </w:rPr>
        <w:t xml:space="preserve"> for </w:t>
      </w:r>
      <w:r w:rsidR="00555CB2">
        <w:rPr>
          <w:rFonts w:ascii="Times New Roman" w:hAnsi="Times New Roman"/>
        </w:rPr>
        <w:t>all 20 rounds in a block</w:t>
      </w:r>
      <w:r w:rsidR="000F7E36">
        <w:rPr>
          <w:rFonts w:ascii="Times New Roman" w:hAnsi="Times New Roman"/>
        </w:rPr>
        <w:t>, using the same interface as was used in the binding precommitment decision</w:t>
      </w:r>
      <w:r w:rsidR="00555CB2">
        <w:rPr>
          <w:rFonts w:ascii="Times New Roman" w:hAnsi="Times New Roman"/>
        </w:rPr>
        <w:t>. They t</w:t>
      </w:r>
      <w:r w:rsidRPr="002208A3">
        <w:rPr>
          <w:rFonts w:ascii="Times New Roman" w:hAnsi="Times New Roman"/>
        </w:rPr>
        <w:t>hen got feedback for the first round</w:t>
      </w:r>
      <w:r w:rsidR="00555CB2">
        <w:rPr>
          <w:rFonts w:ascii="Times New Roman" w:hAnsi="Times New Roman"/>
        </w:rPr>
        <w:t xml:space="preserve">, which included the same feedback seen in the other conditions: </w:t>
      </w:r>
      <w:r w:rsidRPr="002208A3">
        <w:rPr>
          <w:rFonts w:ascii="Times New Roman" w:hAnsi="Times New Roman"/>
        </w:rPr>
        <w:t xml:space="preserve">their choice, the choice of their counterpart, </w:t>
      </w:r>
      <w:r>
        <w:rPr>
          <w:rFonts w:ascii="Times New Roman" w:hAnsi="Times New Roman"/>
        </w:rPr>
        <w:t xml:space="preserve">the randomly generated number, </w:t>
      </w:r>
      <w:r w:rsidRPr="002208A3">
        <w:rPr>
          <w:rFonts w:ascii="Times New Roman" w:hAnsi="Times New Roman"/>
        </w:rPr>
        <w:t xml:space="preserve">and the end result. Participants then </w:t>
      </w:r>
      <w:r w:rsidR="00F83062">
        <w:rPr>
          <w:rFonts w:ascii="Times New Roman" w:hAnsi="Times New Roman"/>
        </w:rPr>
        <w:t>saw a screen showing their past choice (grayed out) and their choices for the upcoming 19 rounds filled in according to their prior selections, and they had the opportunity to advance to the next round or to change any of their future choices and then advance to the next round. This process continued</w:t>
      </w:r>
      <w:r w:rsidRPr="002208A3">
        <w:rPr>
          <w:rFonts w:ascii="Times New Roman" w:hAnsi="Times New Roman"/>
        </w:rPr>
        <w:t xml:space="preserve"> until they finished all 20 rounds, at which time they saw a summary of the results of all 20 rounds</w:t>
      </w:r>
      <w:r w:rsidR="00F83062">
        <w:rPr>
          <w:rFonts w:ascii="Times New Roman" w:hAnsi="Times New Roman"/>
        </w:rPr>
        <w:t>, as in the other conditions</w:t>
      </w:r>
      <w:r w:rsidRPr="002208A3">
        <w:rPr>
          <w:rFonts w:ascii="Times New Roman" w:hAnsi="Times New Roman"/>
        </w:rPr>
        <w:t xml:space="preserve">. </w:t>
      </w:r>
      <w:r w:rsidR="00A81A39">
        <w:rPr>
          <w:rFonts w:ascii="Times New Roman" w:hAnsi="Times New Roman"/>
        </w:rPr>
        <w:t xml:space="preserve">In other words, the </w:t>
      </w:r>
      <w:r w:rsidR="002315CA">
        <w:rPr>
          <w:rFonts w:ascii="Times New Roman" w:hAnsi="Times New Roman"/>
        </w:rPr>
        <w:t xml:space="preserve">content of the </w:t>
      </w:r>
      <w:r w:rsidR="00A67AA7">
        <w:rPr>
          <w:rFonts w:ascii="Times New Roman" w:hAnsi="Times New Roman"/>
        </w:rPr>
        <w:t xml:space="preserve">feedback </w:t>
      </w:r>
      <w:r w:rsidR="00A81A39">
        <w:rPr>
          <w:rFonts w:ascii="Times New Roman" w:hAnsi="Times New Roman"/>
        </w:rPr>
        <w:t xml:space="preserve">information was the same </w:t>
      </w:r>
      <w:r w:rsidR="00A67AA7">
        <w:rPr>
          <w:rFonts w:ascii="Times New Roman" w:hAnsi="Times New Roman"/>
        </w:rPr>
        <w:t xml:space="preserve">across </w:t>
      </w:r>
      <w:r w:rsidR="00A81A39">
        <w:rPr>
          <w:rFonts w:ascii="Times New Roman" w:hAnsi="Times New Roman"/>
        </w:rPr>
        <w:t>all conditions</w:t>
      </w:r>
      <w:r w:rsidR="00F83062">
        <w:rPr>
          <w:rFonts w:ascii="Times New Roman" w:hAnsi="Times New Roman"/>
        </w:rPr>
        <w:t>; only the timing of feedback delivery changed</w:t>
      </w:r>
      <w:r w:rsidR="001B2FB6">
        <w:rPr>
          <w:rFonts w:ascii="Times New Roman" w:hAnsi="Times New Roman"/>
        </w:rPr>
        <w:t xml:space="preserve"> across conditions</w:t>
      </w:r>
      <w:r w:rsidR="00A81A39">
        <w:rPr>
          <w:rFonts w:ascii="Times New Roman" w:hAnsi="Times New Roman"/>
        </w:rPr>
        <w:t xml:space="preserve">. </w:t>
      </w:r>
    </w:p>
    <w:p w14:paraId="13B078CF" w14:textId="292723A7" w:rsidR="00A14EB8" w:rsidRPr="002208A3" w:rsidRDefault="00A14EB8" w:rsidP="00A14EB8">
      <w:pPr>
        <w:spacing w:line="480" w:lineRule="auto"/>
        <w:rPr>
          <w:rFonts w:ascii="Times New Roman" w:hAnsi="Times New Roman"/>
        </w:rPr>
      </w:pPr>
      <w:r w:rsidRPr="002208A3">
        <w:rPr>
          <w:rFonts w:ascii="Times New Roman" w:hAnsi="Times New Roman"/>
        </w:rPr>
        <w:tab/>
        <w:t xml:space="preserve">After the </w:t>
      </w:r>
      <w:r w:rsidR="001B2FB6">
        <w:rPr>
          <w:rFonts w:ascii="Times New Roman" w:hAnsi="Times New Roman"/>
        </w:rPr>
        <w:t xml:space="preserve">end-of-block </w:t>
      </w:r>
      <w:r w:rsidRPr="002208A3">
        <w:rPr>
          <w:rFonts w:ascii="Times New Roman" w:hAnsi="Times New Roman"/>
        </w:rPr>
        <w:t>summary</w:t>
      </w:r>
      <w:r w:rsidR="001B2FB6">
        <w:rPr>
          <w:rFonts w:ascii="Times New Roman" w:hAnsi="Times New Roman"/>
        </w:rPr>
        <w:t xml:space="preserve"> of the 20 rounds</w:t>
      </w:r>
      <w:r w:rsidRPr="002208A3">
        <w:rPr>
          <w:rFonts w:ascii="Times New Roman" w:hAnsi="Times New Roman"/>
        </w:rPr>
        <w:t xml:space="preserve">, </w:t>
      </w:r>
      <w:r w:rsidR="001B2FB6">
        <w:rPr>
          <w:rFonts w:ascii="Times New Roman" w:hAnsi="Times New Roman"/>
        </w:rPr>
        <w:t xml:space="preserve">all </w:t>
      </w:r>
      <w:r w:rsidRPr="002208A3">
        <w:rPr>
          <w:rFonts w:ascii="Times New Roman" w:hAnsi="Times New Roman"/>
        </w:rPr>
        <w:t xml:space="preserve">participants were again randomly paired with a counterpart (with replacement) and played another block. After </w:t>
      </w:r>
      <w:r w:rsidRPr="002208A3">
        <w:rPr>
          <w:rFonts w:ascii="Times New Roman" w:hAnsi="Times New Roman"/>
        </w:rPr>
        <w:lastRenderedPageBreak/>
        <w:t xml:space="preserve">completing all </w:t>
      </w:r>
      <w:r>
        <w:rPr>
          <w:rFonts w:ascii="Times New Roman" w:hAnsi="Times New Roman"/>
        </w:rPr>
        <w:t>3</w:t>
      </w:r>
      <w:r w:rsidRPr="002208A3">
        <w:rPr>
          <w:rFonts w:ascii="Times New Roman" w:hAnsi="Times New Roman"/>
        </w:rPr>
        <w:t xml:space="preserve"> blocks, one block was randomly selected, and each participant was paid </w:t>
      </w:r>
      <w:r w:rsidR="001B2FB6" w:rsidRPr="002208A3">
        <w:rPr>
          <w:rFonts w:ascii="Times New Roman" w:hAnsi="Times New Roman"/>
        </w:rPr>
        <w:t>accord</w:t>
      </w:r>
      <w:r w:rsidR="001B2FB6">
        <w:rPr>
          <w:rFonts w:ascii="Times New Roman" w:hAnsi="Times New Roman"/>
        </w:rPr>
        <w:t>ing to the choices and outcomes in that block</w:t>
      </w:r>
      <w:r w:rsidRPr="002208A3">
        <w:rPr>
          <w:rFonts w:ascii="Times New Roman" w:hAnsi="Times New Roman"/>
        </w:rPr>
        <w:t xml:space="preserve">. </w:t>
      </w:r>
    </w:p>
    <w:p w14:paraId="7417620E" w14:textId="4A08BDAE" w:rsidR="00A14EB8" w:rsidRPr="002208A3" w:rsidRDefault="00A14EB8" w:rsidP="00A14EB8">
      <w:pPr>
        <w:spacing w:line="480" w:lineRule="auto"/>
        <w:rPr>
          <w:rFonts w:ascii="Times New Roman" w:hAnsi="Times New Roman"/>
          <w:i/>
        </w:rPr>
      </w:pPr>
      <w:r w:rsidRPr="002208A3">
        <w:rPr>
          <w:rFonts w:ascii="Times New Roman" w:hAnsi="Times New Roman"/>
          <w:i/>
        </w:rPr>
        <w:t xml:space="preserve">Study </w:t>
      </w:r>
      <w:r w:rsidR="001C4FCC">
        <w:rPr>
          <w:rFonts w:ascii="Times New Roman" w:hAnsi="Times New Roman"/>
          <w:i/>
        </w:rPr>
        <w:t>4</w:t>
      </w:r>
      <w:r w:rsidRPr="002208A3">
        <w:rPr>
          <w:rFonts w:ascii="Times New Roman" w:hAnsi="Times New Roman"/>
          <w:i/>
        </w:rPr>
        <w:t>: Results</w:t>
      </w:r>
    </w:p>
    <w:p w14:paraId="4019B084" w14:textId="30198730" w:rsidR="00A14EB8" w:rsidRDefault="00A14EB8" w:rsidP="00A14EB8">
      <w:pPr>
        <w:spacing w:line="480" w:lineRule="auto"/>
        <w:rPr>
          <w:rFonts w:ascii="Times New Roman" w:hAnsi="Times New Roman"/>
        </w:rPr>
      </w:pPr>
      <w:r w:rsidRPr="002208A3">
        <w:rPr>
          <w:rFonts w:ascii="Times New Roman" w:hAnsi="Times New Roman"/>
        </w:rPr>
        <w:tab/>
      </w:r>
      <w:r>
        <w:rPr>
          <w:rFonts w:ascii="Times New Roman" w:hAnsi="Times New Roman"/>
        </w:rPr>
        <w:t xml:space="preserve">As seen in Figure </w:t>
      </w:r>
      <w:r w:rsidR="006829C1">
        <w:rPr>
          <w:rFonts w:ascii="Times New Roman" w:hAnsi="Times New Roman"/>
        </w:rPr>
        <w:t>9</w:t>
      </w:r>
      <w:r>
        <w:rPr>
          <w:rFonts w:ascii="Times New Roman" w:hAnsi="Times New Roman"/>
        </w:rPr>
        <w:t xml:space="preserve">, binding precommitment increased </w:t>
      </w:r>
      <w:r w:rsidR="009317C4">
        <w:rPr>
          <w:rFonts w:ascii="Times New Roman" w:hAnsi="Times New Roman"/>
        </w:rPr>
        <w:t>investment rates</w:t>
      </w:r>
      <w:r w:rsidR="00F26483">
        <w:rPr>
          <w:rFonts w:ascii="Times New Roman" w:hAnsi="Times New Roman"/>
        </w:rPr>
        <w:t xml:space="preserve"> (i.e., </w:t>
      </w:r>
      <w:r>
        <w:rPr>
          <w:rFonts w:ascii="Times New Roman" w:hAnsi="Times New Roman"/>
        </w:rPr>
        <w:t>safe</w:t>
      </w:r>
      <w:r w:rsidR="009317C4">
        <w:rPr>
          <w:rFonts w:ascii="Times New Roman" w:hAnsi="Times New Roman"/>
        </w:rPr>
        <w:t>r, more cooperative</w:t>
      </w:r>
      <w:r>
        <w:rPr>
          <w:rFonts w:ascii="Times New Roman" w:hAnsi="Times New Roman"/>
        </w:rPr>
        <w:t xml:space="preserve"> choices</w:t>
      </w:r>
      <w:r w:rsidR="00F26483">
        <w:rPr>
          <w:rFonts w:ascii="Times New Roman" w:hAnsi="Times New Roman"/>
        </w:rPr>
        <w:t>)</w:t>
      </w:r>
      <w:r w:rsidR="009317C4">
        <w:rPr>
          <w:rFonts w:ascii="Times New Roman" w:hAnsi="Times New Roman"/>
        </w:rPr>
        <w:t xml:space="preserve"> in this SPD, replicating the results seen in Study 1</w:t>
      </w:r>
      <w:r w:rsidR="00B57EA5">
        <w:rPr>
          <w:rFonts w:ascii="Times New Roman" w:hAnsi="Times New Roman"/>
        </w:rPr>
        <w:t>.</w:t>
      </w:r>
      <w:r w:rsidR="009317C4">
        <w:rPr>
          <w:rFonts w:ascii="Times New Roman" w:hAnsi="Times New Roman"/>
        </w:rPr>
        <w:t xml:space="preserve"> </w:t>
      </w:r>
      <w:r w:rsidR="00B57EA5">
        <w:rPr>
          <w:rFonts w:ascii="Times New Roman" w:hAnsi="Times New Roman"/>
        </w:rPr>
        <w:t>However</w:t>
      </w:r>
      <w:r w:rsidR="009317C4">
        <w:rPr>
          <w:rFonts w:ascii="Times New Roman" w:hAnsi="Times New Roman"/>
        </w:rPr>
        <w:t xml:space="preserve">, </w:t>
      </w:r>
      <w:r>
        <w:rPr>
          <w:rFonts w:ascii="Times New Roman" w:hAnsi="Times New Roman"/>
        </w:rPr>
        <w:t xml:space="preserve">non-binding precommitment did </w:t>
      </w:r>
      <w:r w:rsidRPr="00511D2D">
        <w:rPr>
          <w:rFonts w:ascii="Times New Roman" w:hAnsi="Times New Roman"/>
          <w:i/>
          <w:iCs/>
        </w:rPr>
        <w:t>not</w:t>
      </w:r>
      <w:r w:rsidR="009317C4">
        <w:rPr>
          <w:rFonts w:ascii="Times New Roman" w:hAnsi="Times New Roman"/>
        </w:rPr>
        <w:t xml:space="preserve"> increase investment rates</w:t>
      </w:r>
      <w:r>
        <w:rPr>
          <w:rFonts w:ascii="Times New Roman" w:hAnsi="Times New Roman"/>
        </w:rPr>
        <w:t xml:space="preserve">. </w:t>
      </w:r>
      <w:r w:rsidR="00B57EA5">
        <w:rPr>
          <w:rFonts w:ascii="Times New Roman" w:hAnsi="Times New Roman"/>
        </w:rPr>
        <w:t>We predicted investment rates using a logistic mixed model with fixed effects of condition (SPD-Rep, SPD-Pre-Bind, and SPD-Pre-</w:t>
      </w:r>
      <w:proofErr w:type="spellStart"/>
      <w:r w:rsidR="00B57EA5">
        <w:rPr>
          <w:rFonts w:ascii="Times New Roman" w:hAnsi="Times New Roman"/>
        </w:rPr>
        <w:t>Nonbind</w:t>
      </w:r>
      <w:proofErr w:type="spellEnd"/>
      <w:r w:rsidR="00B57EA5">
        <w:rPr>
          <w:rFonts w:ascii="Times New Roman" w:hAnsi="Times New Roman"/>
        </w:rPr>
        <w:t>, with SPD-Rep as the reference condition), block number (mean centered), and their interaction</w:t>
      </w:r>
      <w:r w:rsidR="00E42514">
        <w:rPr>
          <w:rFonts w:ascii="Times New Roman" w:hAnsi="Times New Roman"/>
        </w:rPr>
        <w:t>s</w:t>
      </w:r>
      <w:r w:rsidR="00B57EA5">
        <w:rPr>
          <w:rFonts w:ascii="Times New Roman" w:hAnsi="Times New Roman"/>
        </w:rPr>
        <w:t xml:space="preserve">, plus random effects for participant ID and partner ID. </w:t>
      </w:r>
      <w:r w:rsidR="00E42514">
        <w:rPr>
          <w:rFonts w:ascii="Times New Roman" w:hAnsi="Times New Roman"/>
        </w:rPr>
        <w:t xml:space="preserve">This confirmed that binding precommitment SPD condition significantly increased investment as compared to the repeated-choice SPD condition, </w:t>
      </w:r>
      <w:r w:rsidR="00E42514" w:rsidRPr="00E42514">
        <w:rPr>
          <w:rFonts w:ascii="Times New Roman" w:hAnsi="Times New Roman"/>
        </w:rPr>
        <w:t>B=</w:t>
      </w:r>
      <w:r w:rsidR="00E42514">
        <w:rPr>
          <w:rFonts w:ascii="Times New Roman" w:hAnsi="Times New Roman"/>
        </w:rPr>
        <w:t>1.42</w:t>
      </w:r>
      <w:r w:rsidR="00E42514" w:rsidRPr="00E42514">
        <w:rPr>
          <w:rFonts w:ascii="Times New Roman" w:hAnsi="Times New Roman"/>
        </w:rPr>
        <w:t>, SE=</w:t>
      </w:r>
      <w:r w:rsidR="00E42514">
        <w:rPr>
          <w:rFonts w:ascii="Times New Roman" w:hAnsi="Times New Roman"/>
        </w:rPr>
        <w:t>0.48</w:t>
      </w:r>
      <w:r w:rsidR="00E42514" w:rsidRPr="00E42514">
        <w:rPr>
          <w:rFonts w:ascii="Times New Roman" w:hAnsi="Times New Roman"/>
        </w:rPr>
        <w:t>, p=</w:t>
      </w:r>
      <w:r w:rsidR="00E42514">
        <w:rPr>
          <w:rFonts w:ascii="Times New Roman" w:hAnsi="Times New Roman"/>
        </w:rPr>
        <w:t>.002</w:t>
      </w:r>
      <w:r w:rsidR="00E42514" w:rsidRPr="00E42514">
        <w:rPr>
          <w:rFonts w:ascii="Times New Roman" w:hAnsi="Times New Roman"/>
        </w:rPr>
        <w:t>, OR=</w:t>
      </w:r>
      <w:r w:rsidR="00E42514">
        <w:rPr>
          <w:rFonts w:ascii="Times New Roman" w:hAnsi="Times New Roman"/>
        </w:rPr>
        <w:t xml:space="preserve">3.00, but the non-binding precommitment condition did not, </w:t>
      </w:r>
      <w:r w:rsidR="00E42514" w:rsidRPr="00E42514">
        <w:rPr>
          <w:rFonts w:ascii="Times New Roman" w:hAnsi="Times New Roman"/>
        </w:rPr>
        <w:t>B=</w:t>
      </w:r>
      <w:r w:rsidR="00E42514">
        <w:rPr>
          <w:rFonts w:ascii="Times New Roman" w:hAnsi="Times New Roman"/>
        </w:rPr>
        <w:t>0.38</w:t>
      </w:r>
      <w:r w:rsidR="00E42514" w:rsidRPr="00E42514">
        <w:rPr>
          <w:rFonts w:ascii="Times New Roman" w:hAnsi="Times New Roman"/>
        </w:rPr>
        <w:t>, SE=</w:t>
      </w:r>
      <w:r w:rsidR="00E42514">
        <w:rPr>
          <w:rFonts w:ascii="Times New Roman" w:hAnsi="Times New Roman"/>
        </w:rPr>
        <w:t>0.47</w:t>
      </w:r>
      <w:r w:rsidR="00E42514" w:rsidRPr="00E42514">
        <w:rPr>
          <w:rFonts w:ascii="Times New Roman" w:hAnsi="Times New Roman"/>
        </w:rPr>
        <w:t>, p=</w:t>
      </w:r>
      <w:r w:rsidR="00E42514">
        <w:rPr>
          <w:rFonts w:ascii="Times New Roman" w:hAnsi="Times New Roman"/>
        </w:rPr>
        <w:t>.41</w:t>
      </w:r>
      <w:r w:rsidR="00E42514" w:rsidRPr="00E42514">
        <w:rPr>
          <w:rFonts w:ascii="Times New Roman" w:hAnsi="Times New Roman"/>
        </w:rPr>
        <w:t>, OR=</w:t>
      </w:r>
      <w:r w:rsidR="00E42514">
        <w:rPr>
          <w:rFonts w:ascii="Times New Roman" w:hAnsi="Times New Roman"/>
        </w:rPr>
        <w:t xml:space="preserve">0.81. Furthermore, a significant effect of block number, </w:t>
      </w:r>
      <w:r w:rsidR="00E42514" w:rsidRPr="00E42514">
        <w:rPr>
          <w:rFonts w:ascii="Times New Roman" w:hAnsi="Times New Roman"/>
        </w:rPr>
        <w:t>B=</w:t>
      </w:r>
      <w:r w:rsidR="00E42514">
        <w:rPr>
          <w:rFonts w:ascii="Times New Roman" w:hAnsi="Times New Roman"/>
        </w:rPr>
        <w:t>0.21</w:t>
      </w:r>
      <w:r w:rsidR="00E42514" w:rsidRPr="00E42514">
        <w:rPr>
          <w:rFonts w:ascii="Times New Roman" w:hAnsi="Times New Roman"/>
        </w:rPr>
        <w:t>, SE=</w:t>
      </w:r>
      <w:r w:rsidR="00E42514">
        <w:rPr>
          <w:rFonts w:ascii="Times New Roman" w:hAnsi="Times New Roman"/>
        </w:rPr>
        <w:t>0.06</w:t>
      </w:r>
      <w:r w:rsidR="00E42514" w:rsidRPr="00E42514">
        <w:rPr>
          <w:rFonts w:ascii="Times New Roman" w:hAnsi="Times New Roman"/>
        </w:rPr>
        <w:t>, p</w:t>
      </w:r>
      <w:r w:rsidR="00E42514">
        <w:rPr>
          <w:rFonts w:ascii="Times New Roman" w:hAnsi="Times New Roman"/>
        </w:rPr>
        <w:t>&lt;.001</w:t>
      </w:r>
      <w:r w:rsidR="00E42514" w:rsidRPr="00E42514">
        <w:rPr>
          <w:rFonts w:ascii="Times New Roman" w:hAnsi="Times New Roman"/>
        </w:rPr>
        <w:t>, OR=</w:t>
      </w:r>
      <w:r w:rsidR="00E42514">
        <w:rPr>
          <w:rFonts w:ascii="Times New Roman" w:hAnsi="Times New Roman"/>
        </w:rPr>
        <w:t xml:space="preserve">3.43, reflected the fact that investment rates trended down over time, and an interaction of the binding precommitment condition with block number, </w:t>
      </w:r>
      <w:r w:rsidR="00E42514" w:rsidRPr="00E42514">
        <w:rPr>
          <w:rFonts w:ascii="Times New Roman" w:hAnsi="Times New Roman"/>
        </w:rPr>
        <w:t>B=</w:t>
      </w:r>
      <w:r w:rsidR="00E42514">
        <w:rPr>
          <w:rFonts w:ascii="Times New Roman" w:hAnsi="Times New Roman"/>
        </w:rPr>
        <w:t>0.21</w:t>
      </w:r>
      <w:r w:rsidR="00E42514" w:rsidRPr="00E42514">
        <w:rPr>
          <w:rFonts w:ascii="Times New Roman" w:hAnsi="Times New Roman"/>
        </w:rPr>
        <w:t>, SE=</w:t>
      </w:r>
      <w:r w:rsidR="00E42514">
        <w:rPr>
          <w:rFonts w:ascii="Times New Roman" w:hAnsi="Times New Roman"/>
        </w:rPr>
        <w:t>0.09</w:t>
      </w:r>
      <w:r w:rsidR="00E42514" w:rsidRPr="00E42514">
        <w:rPr>
          <w:rFonts w:ascii="Times New Roman" w:hAnsi="Times New Roman"/>
        </w:rPr>
        <w:t>, p=</w:t>
      </w:r>
      <w:r w:rsidR="00E42514">
        <w:rPr>
          <w:rFonts w:ascii="Times New Roman" w:hAnsi="Times New Roman"/>
        </w:rPr>
        <w:t>.02</w:t>
      </w:r>
      <w:r w:rsidR="00E42514" w:rsidRPr="00E42514">
        <w:rPr>
          <w:rFonts w:ascii="Times New Roman" w:hAnsi="Times New Roman"/>
        </w:rPr>
        <w:t>, OR=</w:t>
      </w:r>
      <w:r w:rsidR="00E42514">
        <w:rPr>
          <w:rFonts w:ascii="Times New Roman" w:hAnsi="Times New Roman"/>
        </w:rPr>
        <w:t xml:space="preserve">2.39, indicated that this condition trended down more sharply, as seen in Figure 9. </w:t>
      </w:r>
    </w:p>
    <w:p w14:paraId="3495947E" w14:textId="50823DCE" w:rsidR="00A14EB8" w:rsidRPr="00163CD2" w:rsidRDefault="00A14EB8" w:rsidP="00A14EB8">
      <w:pPr>
        <w:spacing w:line="480" w:lineRule="auto"/>
        <w:rPr>
          <w:rFonts w:ascii="Times New Roman" w:hAnsi="Times New Roman"/>
          <w:i/>
          <w:iCs/>
        </w:rPr>
      </w:pPr>
      <w:r w:rsidRPr="00163CD2">
        <w:rPr>
          <w:rFonts w:ascii="Times New Roman" w:hAnsi="Times New Roman"/>
          <w:i/>
          <w:iCs/>
        </w:rPr>
        <w:t xml:space="preserve">Figure </w:t>
      </w:r>
      <w:r w:rsidR="006829C1">
        <w:rPr>
          <w:rFonts w:ascii="Times New Roman" w:hAnsi="Times New Roman"/>
          <w:i/>
          <w:iCs/>
        </w:rPr>
        <w:t>9</w:t>
      </w:r>
      <w:r w:rsidRPr="00163CD2">
        <w:rPr>
          <w:rFonts w:ascii="Times New Roman" w:hAnsi="Times New Roman"/>
          <w:i/>
          <w:iCs/>
        </w:rPr>
        <w:t xml:space="preserve">. Proportion of </w:t>
      </w:r>
      <w:r w:rsidR="00F26483">
        <w:rPr>
          <w:rFonts w:ascii="Times New Roman" w:hAnsi="Times New Roman"/>
          <w:i/>
          <w:iCs/>
        </w:rPr>
        <w:t xml:space="preserve">investments (i.e., </w:t>
      </w:r>
      <w:r w:rsidRPr="00163CD2">
        <w:rPr>
          <w:rFonts w:ascii="Times New Roman" w:hAnsi="Times New Roman"/>
          <w:i/>
          <w:iCs/>
        </w:rPr>
        <w:t>safe</w:t>
      </w:r>
      <w:r w:rsidR="00DE29F2">
        <w:rPr>
          <w:rFonts w:ascii="Times New Roman" w:hAnsi="Times New Roman"/>
          <w:i/>
          <w:iCs/>
        </w:rPr>
        <w:t>, cooperatives</w:t>
      </w:r>
      <w:r w:rsidRPr="00163CD2">
        <w:rPr>
          <w:rFonts w:ascii="Times New Roman" w:hAnsi="Times New Roman"/>
          <w:i/>
          <w:iCs/>
        </w:rPr>
        <w:t xml:space="preserve"> choices</w:t>
      </w:r>
      <w:r w:rsidR="00F26483">
        <w:rPr>
          <w:rFonts w:ascii="Times New Roman" w:hAnsi="Times New Roman"/>
          <w:i/>
          <w:iCs/>
        </w:rPr>
        <w:t>)</w:t>
      </w:r>
      <w:r w:rsidRPr="00163CD2">
        <w:rPr>
          <w:rFonts w:ascii="Times New Roman" w:hAnsi="Times New Roman"/>
          <w:i/>
          <w:iCs/>
        </w:rPr>
        <w:t xml:space="preserve"> in </w:t>
      </w:r>
      <w:r w:rsidR="002F0E45">
        <w:rPr>
          <w:rFonts w:ascii="Times New Roman" w:hAnsi="Times New Roman"/>
          <w:i/>
          <w:iCs/>
        </w:rPr>
        <w:t xml:space="preserve">the stochastic social dilemma in </w:t>
      </w:r>
      <w:r w:rsidRPr="00163CD2">
        <w:rPr>
          <w:rFonts w:ascii="Times New Roman" w:hAnsi="Times New Roman"/>
          <w:i/>
          <w:iCs/>
        </w:rPr>
        <w:t xml:space="preserve">Study </w:t>
      </w:r>
      <w:r w:rsidR="00F22135">
        <w:rPr>
          <w:rFonts w:ascii="Times New Roman" w:hAnsi="Times New Roman"/>
          <w:i/>
          <w:iCs/>
        </w:rPr>
        <w:t>4</w:t>
      </w:r>
      <w:r w:rsidR="00F22135" w:rsidRPr="00163CD2">
        <w:rPr>
          <w:rFonts w:ascii="Times New Roman" w:hAnsi="Times New Roman"/>
          <w:i/>
          <w:iCs/>
        </w:rPr>
        <w:t xml:space="preserve"> </w:t>
      </w:r>
      <w:r w:rsidRPr="00163CD2">
        <w:rPr>
          <w:rFonts w:ascii="Times New Roman" w:hAnsi="Times New Roman"/>
          <w:i/>
          <w:iCs/>
        </w:rPr>
        <w:t>as a function of whether choices were repeated</w:t>
      </w:r>
      <w:r w:rsidR="00336029">
        <w:rPr>
          <w:rFonts w:ascii="Times New Roman" w:hAnsi="Times New Roman"/>
          <w:i/>
          <w:iCs/>
        </w:rPr>
        <w:t xml:space="preserve"> (SPD-Rep)</w:t>
      </w:r>
      <w:r w:rsidRPr="00163CD2">
        <w:rPr>
          <w:rFonts w:ascii="Times New Roman" w:hAnsi="Times New Roman"/>
          <w:i/>
          <w:iCs/>
        </w:rPr>
        <w:t>, binding precommitted</w:t>
      </w:r>
      <w:r w:rsidR="00336029">
        <w:rPr>
          <w:rFonts w:ascii="Times New Roman" w:hAnsi="Times New Roman"/>
          <w:i/>
          <w:iCs/>
        </w:rPr>
        <w:t xml:space="preserve"> (SPD-Pre-Bind)</w:t>
      </w:r>
      <w:r w:rsidRPr="00163CD2">
        <w:rPr>
          <w:rFonts w:ascii="Times New Roman" w:hAnsi="Times New Roman"/>
          <w:i/>
          <w:iCs/>
        </w:rPr>
        <w:t>, or non-binding precommitted</w:t>
      </w:r>
      <w:r w:rsidR="00336029">
        <w:rPr>
          <w:rFonts w:ascii="Times New Roman" w:hAnsi="Times New Roman"/>
          <w:i/>
          <w:iCs/>
        </w:rPr>
        <w:t xml:space="preserve"> (SPD-Pre-</w:t>
      </w:r>
      <w:proofErr w:type="spellStart"/>
      <w:r w:rsidR="00336029">
        <w:rPr>
          <w:rFonts w:ascii="Times New Roman" w:hAnsi="Times New Roman"/>
          <w:i/>
          <w:iCs/>
        </w:rPr>
        <w:t>Nonbind</w:t>
      </w:r>
      <w:proofErr w:type="spellEnd"/>
      <w:r w:rsidR="00336029">
        <w:rPr>
          <w:rFonts w:ascii="Times New Roman" w:hAnsi="Times New Roman"/>
          <w:i/>
          <w:iCs/>
        </w:rPr>
        <w:t>)</w:t>
      </w:r>
      <w:r w:rsidRPr="00163CD2">
        <w:rPr>
          <w:rFonts w:ascii="Times New Roman" w:hAnsi="Times New Roman"/>
          <w:i/>
          <w:iCs/>
        </w:rPr>
        <w:t xml:space="preserve">. Error bars show +/- </w:t>
      </w:r>
      <w:r>
        <w:rPr>
          <w:rFonts w:ascii="Times New Roman" w:hAnsi="Times New Roman"/>
          <w:i/>
          <w:iCs/>
        </w:rPr>
        <w:t>one standard error</w:t>
      </w:r>
      <w:r w:rsidRPr="00163CD2">
        <w:rPr>
          <w:rFonts w:ascii="Times New Roman" w:hAnsi="Times New Roman"/>
          <w:i/>
          <w:iCs/>
        </w:rPr>
        <w:t>.</w:t>
      </w:r>
    </w:p>
    <w:p w14:paraId="696E65C3" w14:textId="77777777" w:rsidR="00A14EB8" w:rsidRPr="002208A3" w:rsidRDefault="00A14EB8" w:rsidP="00A14EB8">
      <w:pPr>
        <w:spacing w:line="480" w:lineRule="auto"/>
        <w:jc w:val="center"/>
        <w:rPr>
          <w:rFonts w:ascii="Times New Roman" w:hAnsi="Times New Roman"/>
        </w:rPr>
      </w:pPr>
      <w:r>
        <w:rPr>
          <w:noProof/>
        </w:rPr>
        <w:lastRenderedPageBreak/>
        <w:drawing>
          <wp:inline distT="0" distB="0" distL="0" distR="0" wp14:anchorId="64C20DD0" wp14:editId="6A4EE624">
            <wp:extent cx="5398936" cy="3514477"/>
            <wp:effectExtent l="0" t="0" r="11430" b="10160"/>
            <wp:docPr id="10" name="Chart 10">
              <a:extLst xmlns:a="http://schemas.openxmlformats.org/drawingml/2006/main">
                <a:ext uri="{FF2B5EF4-FFF2-40B4-BE49-F238E27FC236}">
                  <a16:creationId xmlns:a16="http://schemas.microsoft.com/office/drawing/2014/main" id="{0E1282BF-2886-4949-BDC9-C1B636E79A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0F99C2" w14:textId="74EEC8CE" w:rsidR="00707CA5" w:rsidRDefault="00707CA5" w:rsidP="00A14EB8">
      <w:pPr>
        <w:spacing w:line="480" w:lineRule="auto"/>
        <w:rPr>
          <w:rFonts w:ascii="Times New Roman" w:hAnsi="Times New Roman"/>
          <w:iCs/>
        </w:rPr>
      </w:pPr>
      <w:r>
        <w:rPr>
          <w:rFonts w:ascii="Times New Roman" w:hAnsi="Times New Roman"/>
          <w:iCs/>
        </w:rPr>
        <w:tab/>
        <w:t xml:space="preserve">To further probe the differences between binding and non-binding precondition, we plotted the round by round estimated probabilities in each condition (from the logistic mixed model), shown in Figure 10. </w:t>
      </w:r>
      <w:r w:rsidR="00213E7B">
        <w:rPr>
          <w:rFonts w:ascii="Times New Roman" w:hAnsi="Times New Roman"/>
          <w:iCs/>
        </w:rPr>
        <w:t xml:space="preserve">As seen there, the probability of investment was identical between the binding and non-binding precommitment conditions in round 1, but diverged sharply in round 2. It is also notable that none of these SPD conditions showed an end-of-game effect in round 20, replicating the pattern seen in Study 1. </w:t>
      </w:r>
    </w:p>
    <w:p w14:paraId="55D65613" w14:textId="1526A1D6" w:rsidR="00707CA5" w:rsidRPr="00A31B35" w:rsidRDefault="00707CA5" w:rsidP="00A14EB8">
      <w:pPr>
        <w:spacing w:line="480" w:lineRule="auto"/>
        <w:rPr>
          <w:rFonts w:ascii="Times New Roman" w:hAnsi="Times New Roman"/>
          <w:i/>
          <w:iCs/>
        </w:rPr>
      </w:pPr>
      <w:r w:rsidRPr="00163CD2">
        <w:rPr>
          <w:rFonts w:ascii="Times New Roman" w:hAnsi="Times New Roman"/>
          <w:i/>
          <w:iCs/>
        </w:rPr>
        <w:t xml:space="preserve">Figure </w:t>
      </w:r>
      <w:r>
        <w:rPr>
          <w:rFonts w:ascii="Times New Roman" w:hAnsi="Times New Roman"/>
          <w:i/>
          <w:iCs/>
        </w:rPr>
        <w:t>10</w:t>
      </w:r>
      <w:r w:rsidRPr="00163CD2">
        <w:rPr>
          <w:rFonts w:ascii="Times New Roman" w:hAnsi="Times New Roman"/>
          <w:i/>
          <w:iCs/>
        </w:rPr>
        <w:t xml:space="preserve">. </w:t>
      </w:r>
      <w:r w:rsidR="00A96351">
        <w:rPr>
          <w:rFonts w:ascii="Times New Roman" w:hAnsi="Times New Roman"/>
          <w:i/>
          <w:iCs/>
        </w:rPr>
        <w:t>Estimated probability</w:t>
      </w:r>
      <w:r w:rsidRPr="00163CD2">
        <w:rPr>
          <w:rFonts w:ascii="Times New Roman" w:hAnsi="Times New Roman"/>
          <w:i/>
          <w:iCs/>
        </w:rPr>
        <w:t xml:space="preserve"> of </w:t>
      </w:r>
      <w:r>
        <w:rPr>
          <w:rFonts w:ascii="Times New Roman" w:hAnsi="Times New Roman"/>
          <w:i/>
          <w:iCs/>
        </w:rPr>
        <w:t xml:space="preserve">investments (i.e., </w:t>
      </w:r>
      <w:r w:rsidRPr="00163CD2">
        <w:rPr>
          <w:rFonts w:ascii="Times New Roman" w:hAnsi="Times New Roman"/>
          <w:i/>
          <w:iCs/>
        </w:rPr>
        <w:t>safe</w:t>
      </w:r>
      <w:r>
        <w:rPr>
          <w:rFonts w:ascii="Times New Roman" w:hAnsi="Times New Roman"/>
          <w:i/>
          <w:iCs/>
        </w:rPr>
        <w:t>, cooperatives</w:t>
      </w:r>
      <w:r w:rsidRPr="00163CD2">
        <w:rPr>
          <w:rFonts w:ascii="Times New Roman" w:hAnsi="Times New Roman"/>
          <w:i/>
          <w:iCs/>
        </w:rPr>
        <w:t xml:space="preserve"> choices</w:t>
      </w:r>
      <w:r>
        <w:rPr>
          <w:rFonts w:ascii="Times New Roman" w:hAnsi="Times New Roman"/>
          <w:i/>
          <w:iCs/>
        </w:rPr>
        <w:t>)</w:t>
      </w:r>
      <w:r w:rsidRPr="00163CD2">
        <w:rPr>
          <w:rFonts w:ascii="Times New Roman" w:hAnsi="Times New Roman"/>
          <w:i/>
          <w:iCs/>
        </w:rPr>
        <w:t xml:space="preserve"> in </w:t>
      </w:r>
      <w:r>
        <w:rPr>
          <w:rFonts w:ascii="Times New Roman" w:hAnsi="Times New Roman"/>
          <w:i/>
          <w:iCs/>
        </w:rPr>
        <w:t>the stochastic social dilemma</w:t>
      </w:r>
      <w:r w:rsidR="003F6A12">
        <w:rPr>
          <w:rFonts w:ascii="Times New Roman" w:hAnsi="Times New Roman"/>
          <w:i/>
          <w:iCs/>
        </w:rPr>
        <w:t>s</w:t>
      </w:r>
      <w:r>
        <w:rPr>
          <w:rFonts w:ascii="Times New Roman" w:hAnsi="Times New Roman"/>
          <w:i/>
          <w:iCs/>
        </w:rPr>
        <w:t xml:space="preserve"> in </w:t>
      </w:r>
      <w:r w:rsidRPr="00163CD2">
        <w:rPr>
          <w:rFonts w:ascii="Times New Roman" w:hAnsi="Times New Roman"/>
          <w:i/>
          <w:iCs/>
        </w:rPr>
        <w:t xml:space="preserve">Study </w:t>
      </w:r>
      <w:r>
        <w:rPr>
          <w:rFonts w:ascii="Times New Roman" w:hAnsi="Times New Roman"/>
          <w:i/>
          <w:iCs/>
        </w:rPr>
        <w:t>4</w:t>
      </w:r>
      <w:r w:rsidRPr="00163CD2">
        <w:rPr>
          <w:rFonts w:ascii="Times New Roman" w:hAnsi="Times New Roman"/>
          <w:i/>
          <w:iCs/>
        </w:rPr>
        <w:t xml:space="preserve"> </w:t>
      </w:r>
      <w:r w:rsidR="00A96351">
        <w:rPr>
          <w:rFonts w:ascii="Times New Roman" w:hAnsi="Times New Roman"/>
          <w:i/>
          <w:iCs/>
        </w:rPr>
        <w:t>in each of the 20 rounds (collapsing across blocks).</w:t>
      </w:r>
    </w:p>
    <w:p w14:paraId="3B7DE121" w14:textId="18AC6958" w:rsidR="00707CA5" w:rsidRPr="00A31B35" w:rsidRDefault="00707CA5" w:rsidP="00A14EB8">
      <w:pPr>
        <w:spacing w:line="480" w:lineRule="auto"/>
        <w:rPr>
          <w:rFonts w:ascii="Times New Roman" w:hAnsi="Times New Roman"/>
          <w:iCs/>
        </w:rPr>
      </w:pPr>
      <w:r>
        <w:rPr>
          <w:rFonts w:ascii="Times New Roman" w:hAnsi="Times New Roman"/>
          <w:iCs/>
          <w:noProof/>
        </w:rPr>
        <w:lastRenderedPageBreak/>
        <w:drawing>
          <wp:inline distT="0" distB="0" distL="0" distR="0" wp14:anchorId="44C9263A" wp14:editId="5B9C5D19">
            <wp:extent cx="5486400" cy="5486400"/>
            <wp:effectExtent l="0" t="0" r="0" b="0"/>
            <wp:docPr id="155857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inline>
        </w:drawing>
      </w:r>
    </w:p>
    <w:p w14:paraId="4B42C853" w14:textId="294E11DA" w:rsidR="00A14EB8" w:rsidRDefault="00A14EB8" w:rsidP="00A14EB8">
      <w:pPr>
        <w:spacing w:line="480" w:lineRule="auto"/>
        <w:rPr>
          <w:rFonts w:ascii="Times New Roman" w:hAnsi="Times New Roman"/>
          <w:i/>
        </w:rPr>
      </w:pPr>
      <w:r>
        <w:rPr>
          <w:rFonts w:ascii="Times New Roman" w:hAnsi="Times New Roman"/>
          <w:i/>
        </w:rPr>
        <w:t xml:space="preserve">Study </w:t>
      </w:r>
      <w:r w:rsidR="001C4FCC">
        <w:rPr>
          <w:rFonts w:ascii="Times New Roman" w:hAnsi="Times New Roman"/>
          <w:i/>
        </w:rPr>
        <w:t>4</w:t>
      </w:r>
      <w:r>
        <w:rPr>
          <w:rFonts w:ascii="Times New Roman" w:hAnsi="Times New Roman"/>
          <w:i/>
        </w:rPr>
        <w:t>: Discussion</w:t>
      </w:r>
    </w:p>
    <w:p w14:paraId="5C0BF3DD" w14:textId="02AB772B" w:rsidR="00A14EB8" w:rsidRDefault="00A14EB8" w:rsidP="00A14EB8">
      <w:pPr>
        <w:spacing w:line="480" w:lineRule="auto"/>
        <w:rPr>
          <w:rFonts w:ascii="Times New Roman" w:hAnsi="Times New Roman"/>
          <w:iCs/>
        </w:rPr>
      </w:pPr>
      <w:r>
        <w:rPr>
          <w:rFonts w:ascii="Times New Roman" w:hAnsi="Times New Roman"/>
          <w:iCs/>
        </w:rPr>
        <w:tab/>
        <w:t xml:space="preserve">As in previous </w:t>
      </w:r>
      <w:r w:rsidR="00D542CC">
        <w:rPr>
          <w:rFonts w:ascii="Times New Roman" w:hAnsi="Times New Roman"/>
          <w:iCs/>
        </w:rPr>
        <w:t xml:space="preserve">SPD </w:t>
      </w:r>
      <w:r>
        <w:rPr>
          <w:rFonts w:ascii="Times New Roman" w:hAnsi="Times New Roman"/>
          <w:iCs/>
        </w:rPr>
        <w:t>studies</w:t>
      </w:r>
      <w:r w:rsidR="00567980">
        <w:rPr>
          <w:rFonts w:ascii="Times New Roman" w:hAnsi="Times New Roman"/>
          <w:iCs/>
        </w:rPr>
        <w:t>,</w:t>
      </w:r>
      <w:r>
        <w:rPr>
          <w:rFonts w:ascii="Times New Roman" w:hAnsi="Times New Roman"/>
          <w:iCs/>
        </w:rPr>
        <w:t xml:space="preserve"> the overall </w:t>
      </w:r>
      <w:r w:rsidR="00D30412">
        <w:rPr>
          <w:rFonts w:ascii="Times New Roman" w:hAnsi="Times New Roman"/>
          <w:iCs/>
        </w:rPr>
        <w:t xml:space="preserve">investment </w:t>
      </w:r>
      <w:r>
        <w:rPr>
          <w:rFonts w:ascii="Times New Roman" w:hAnsi="Times New Roman"/>
          <w:iCs/>
        </w:rPr>
        <w:t>proportion</w:t>
      </w:r>
      <w:r w:rsidR="00D30412">
        <w:rPr>
          <w:rFonts w:ascii="Times New Roman" w:hAnsi="Times New Roman"/>
          <w:iCs/>
        </w:rPr>
        <w:t xml:space="preserve"> in safer, cooperative</w:t>
      </w:r>
      <w:r>
        <w:rPr>
          <w:rFonts w:ascii="Times New Roman" w:hAnsi="Times New Roman"/>
          <w:iCs/>
        </w:rPr>
        <w:t xml:space="preserve"> behavior was low, around 30-35%. Binding precommitment increased </w:t>
      </w:r>
      <w:r w:rsidR="00D542CC">
        <w:rPr>
          <w:rFonts w:ascii="Times New Roman" w:hAnsi="Times New Roman"/>
          <w:iCs/>
        </w:rPr>
        <w:t xml:space="preserve">this investment </w:t>
      </w:r>
      <w:r>
        <w:rPr>
          <w:rFonts w:ascii="Times New Roman" w:hAnsi="Times New Roman"/>
          <w:iCs/>
        </w:rPr>
        <w:t xml:space="preserve">proportion, but non-binding pre-commitment had basically no effect. The reason for the difference between binding and non-binding precommitment in this study is unclear, but certainly relates to the dynamics of playing with a counterpart. One possibility is that cooperation in safety is fragile in this situation, and if one person sees </w:t>
      </w:r>
      <w:r>
        <w:rPr>
          <w:rFonts w:ascii="Times New Roman" w:hAnsi="Times New Roman"/>
          <w:iCs/>
        </w:rPr>
        <w:lastRenderedPageBreak/>
        <w:t xml:space="preserve">that the other is not paying for safety, then they are not likely to pay for safety either. This dynamic can only emerge in non-binding precommitment; in binding precommitment there is not opportunity to react to one’s counterpart, until the next block of choices, when one is randomly paired with a (potentially new) counterpart again. An empirical investigation of the process driving the difference vs non-binding precommitment in social dilemmas remains a topic for future research. </w:t>
      </w:r>
    </w:p>
    <w:p w14:paraId="05036432" w14:textId="77777777" w:rsidR="00A14EB8" w:rsidRDefault="00A14EB8" w:rsidP="00AF2B85">
      <w:pPr>
        <w:spacing w:line="480" w:lineRule="auto"/>
        <w:rPr>
          <w:rFonts w:ascii="Times New Roman" w:hAnsi="Times New Roman"/>
          <w:i/>
        </w:rPr>
      </w:pPr>
    </w:p>
    <w:p w14:paraId="4A50E3FE" w14:textId="10094043" w:rsidR="00E95213" w:rsidRPr="00EA4B6A" w:rsidRDefault="00007FBE" w:rsidP="00511D2D">
      <w:pPr>
        <w:spacing w:line="480" w:lineRule="auto"/>
        <w:jc w:val="center"/>
        <w:rPr>
          <w:rFonts w:ascii="Times New Roman" w:hAnsi="Times New Roman"/>
          <w:i/>
        </w:rPr>
      </w:pPr>
      <w:r w:rsidRPr="00EA4B6A">
        <w:rPr>
          <w:rFonts w:ascii="Times New Roman" w:hAnsi="Times New Roman"/>
          <w:i/>
        </w:rPr>
        <w:t xml:space="preserve">General </w:t>
      </w:r>
      <w:r w:rsidR="00B57999" w:rsidRPr="00EA4B6A">
        <w:rPr>
          <w:rFonts w:ascii="Times New Roman" w:hAnsi="Times New Roman"/>
          <w:i/>
        </w:rPr>
        <w:t>Discussion</w:t>
      </w:r>
    </w:p>
    <w:p w14:paraId="1C475B45" w14:textId="16742795" w:rsidR="003F239F" w:rsidRDefault="00FD72AE" w:rsidP="00AF2B85">
      <w:pPr>
        <w:spacing w:line="480" w:lineRule="auto"/>
        <w:rPr>
          <w:rFonts w:ascii="Times New Roman" w:hAnsi="Times New Roman"/>
        </w:rPr>
      </w:pPr>
      <w:r w:rsidRPr="002208A3">
        <w:rPr>
          <w:rFonts w:ascii="Times New Roman" w:hAnsi="Times New Roman"/>
        </w:rPr>
        <w:tab/>
      </w:r>
      <w:r w:rsidR="008E4ED9" w:rsidRPr="002208A3">
        <w:rPr>
          <w:rFonts w:ascii="Times New Roman" w:hAnsi="Times New Roman"/>
        </w:rPr>
        <w:t>A</w:t>
      </w:r>
      <w:r w:rsidRPr="002208A3">
        <w:rPr>
          <w:rFonts w:ascii="Times New Roman" w:hAnsi="Times New Roman"/>
        </w:rPr>
        <w:t xml:space="preserve">dding </w:t>
      </w:r>
      <w:r w:rsidR="00CA0ADF">
        <w:rPr>
          <w:rFonts w:ascii="Times New Roman" w:hAnsi="Times New Roman"/>
        </w:rPr>
        <w:t>risk</w:t>
      </w:r>
      <w:r w:rsidR="00CA0ADF" w:rsidRPr="002208A3">
        <w:rPr>
          <w:rFonts w:ascii="Times New Roman" w:hAnsi="Times New Roman"/>
        </w:rPr>
        <w:t xml:space="preserve"> </w:t>
      </w:r>
      <w:r w:rsidRPr="002208A3">
        <w:rPr>
          <w:rFonts w:ascii="Times New Roman" w:hAnsi="Times New Roman"/>
        </w:rPr>
        <w:t xml:space="preserve">to </w:t>
      </w:r>
      <w:r w:rsidR="008E4ED9" w:rsidRPr="002208A3">
        <w:rPr>
          <w:rFonts w:ascii="Times New Roman" w:hAnsi="Times New Roman"/>
        </w:rPr>
        <w:t xml:space="preserve">the outcomes in social dilemmas dramatically changes the behavior of those involved. </w:t>
      </w:r>
      <w:r w:rsidR="00FF3EB1" w:rsidRPr="002208A3">
        <w:rPr>
          <w:rFonts w:ascii="Times New Roman" w:hAnsi="Times New Roman"/>
        </w:rPr>
        <w:t>In both the present research and previous studies</w:t>
      </w:r>
      <w:r w:rsidR="00CA0ADF">
        <w:rPr>
          <w:rFonts w:ascii="Times New Roman" w:hAnsi="Times New Roman"/>
        </w:rPr>
        <w:t xml:space="preserve"> of interdependent security</w:t>
      </w:r>
      <w:r w:rsidR="008456EE">
        <w:rPr>
          <w:rFonts w:ascii="Times New Roman" w:hAnsi="Times New Roman"/>
        </w:rPr>
        <w:t xml:space="preserve"> </w:t>
      </w:r>
      <w:r w:rsidR="008456EE">
        <w:rPr>
          <w:rFonts w:ascii="Times New Roman" w:hAnsi="Times New Roman"/>
        </w:rPr>
        <w:fldChar w:fldCharType="begin" w:fldLock="1"/>
      </w:r>
      <w:r w:rsidR="005B1C17">
        <w:rPr>
          <w:rFonts w:ascii="Times New Roman" w:hAnsi="Times New Roman"/>
        </w:rPr>
        <w:instrText>ADDIN CSL_CITATION {"citationItems":[{"id":"ITEM-1","itemData":{"author":[{"dropping-particle":"","family":"Kunreuther","given":"Howard","non-dropping-particle":"","parse-names":false,"suffix":""},{"dropping-particle":"","family":"Silvasi","given":"Gabriel","non-dropping-particle":"","parse-names":false,"suffix":""},{"dropping-particle":"","family":"Bradlow","given":"Eric","non-dropping-particle":"","parse-names":false,"suffix":""},{"dropping-particle":"","family":"Small","given":"Dylan","non-dropping-particle":"","parse-names":false,"suffix":""}],"container-title":"Judgment and Decision Making","id":"ITEM-1","issue":"5","issued":{"date-parts":[["2009"]]},"page":"363","title":"Bayesian analysis of deterministic and stochastic prisoner's dilemma games","type":"article-journal","volume":"4"},"uris":["http://www.mendeley.com/documents/?uuid=9fa45453-4136-4e5b-987c-c266d4ff8013"]},{"id":"ITEM-2","itemData":{"ISSN":"0895-5646","author":[{"dropping-particle":"","family":"Gong","given":"Min","non-dropping-particle":"","parse-names":false,"suffix":""},{"dropping-particle":"","family":"Baron","given":"Jonathan","non-dropping-particle":"","parse-names":false,"suffix":""},{"dropping-particle":"","family":"Kunreuther","given":"Howard","non-dropping-particle":"","parse-names":false,"suffix":""}],"container-title":"Journal of Risk and Uncertainty","id":"ITEM-2","issue":"3","issued":{"date-parts":[["2009"]]},"page":"251","publisher":"Springer","title":"Group cooperation under uncertainty","type":"article-journal","volume":"39"},"uris":["http://www.mendeley.com/documents/?uuid=1579dd97-553f-42ba-af93-0797c7c520f5"]}],"mendeley":{"formattedCitation":"(Gong et al., 2009; Kunreuther et al., 2009)","plainTextFormattedCitation":"(Gong et al., 2009; Kunreuther et al., 2009)","previouslyFormattedCitation":"(Gong et al. 2009, Kunreuther et al. 2009)"},"properties":{"noteIndex":0},"schema":"https://github.com/citation-style-language/schema/raw/master/csl-citation.json"}</w:instrText>
      </w:r>
      <w:r w:rsidR="008456EE">
        <w:rPr>
          <w:rFonts w:ascii="Times New Roman" w:hAnsi="Times New Roman"/>
        </w:rPr>
        <w:fldChar w:fldCharType="separate"/>
      </w:r>
      <w:r w:rsidR="005B1C17" w:rsidRPr="005B1C17">
        <w:rPr>
          <w:rFonts w:ascii="Times New Roman" w:hAnsi="Times New Roman"/>
          <w:noProof/>
        </w:rPr>
        <w:t>(Gong et al., 2009; Kunreuther et al., 2009)</w:t>
      </w:r>
      <w:r w:rsidR="008456EE">
        <w:rPr>
          <w:rFonts w:ascii="Times New Roman" w:hAnsi="Times New Roman"/>
        </w:rPr>
        <w:fldChar w:fldCharType="end"/>
      </w:r>
      <w:r w:rsidR="00FF3EB1" w:rsidRPr="002208A3">
        <w:rPr>
          <w:rFonts w:ascii="Times New Roman" w:hAnsi="Times New Roman"/>
        </w:rPr>
        <w:t xml:space="preserve">, individuals </w:t>
      </w:r>
      <w:r w:rsidR="00DA68EC">
        <w:rPr>
          <w:rFonts w:ascii="Times New Roman" w:hAnsi="Times New Roman"/>
        </w:rPr>
        <w:t>cooperated</w:t>
      </w:r>
      <w:r w:rsidR="00DA68EC" w:rsidRPr="002208A3">
        <w:rPr>
          <w:rFonts w:ascii="Times New Roman" w:hAnsi="Times New Roman"/>
        </w:rPr>
        <w:t xml:space="preserve"> </w:t>
      </w:r>
      <w:r w:rsidR="00FF3EB1" w:rsidRPr="002208A3">
        <w:rPr>
          <w:rFonts w:ascii="Times New Roman" w:hAnsi="Times New Roman"/>
        </w:rPr>
        <w:t xml:space="preserve">at much lower rates </w:t>
      </w:r>
      <w:r w:rsidR="00CA0ADF">
        <w:rPr>
          <w:rFonts w:ascii="Times New Roman" w:hAnsi="Times New Roman"/>
        </w:rPr>
        <w:t>when facing low probability, high magnitude losses</w:t>
      </w:r>
      <w:r w:rsidR="00FF3EB1" w:rsidRPr="002208A3">
        <w:rPr>
          <w:rFonts w:ascii="Times New Roman" w:hAnsi="Times New Roman"/>
        </w:rPr>
        <w:t xml:space="preserve"> than they did in a typical (deterministic) </w:t>
      </w:r>
      <w:r w:rsidR="00974F97">
        <w:rPr>
          <w:rFonts w:ascii="Times New Roman" w:hAnsi="Times New Roman"/>
        </w:rPr>
        <w:t>prisoner's</w:t>
      </w:r>
      <w:r w:rsidR="00FF3EB1" w:rsidRPr="002208A3">
        <w:rPr>
          <w:rFonts w:ascii="Times New Roman" w:hAnsi="Times New Roman"/>
        </w:rPr>
        <w:t xml:space="preserve"> dilemma. </w:t>
      </w:r>
      <w:r w:rsidR="00D62B4A" w:rsidRPr="002208A3">
        <w:rPr>
          <w:rFonts w:ascii="Times New Roman" w:hAnsi="Times New Roman"/>
        </w:rPr>
        <w:t>A number of factors showed that participants in stochastic dilemmas</w:t>
      </w:r>
      <w:r w:rsidR="00DA68EC">
        <w:rPr>
          <w:rFonts w:ascii="Times New Roman" w:hAnsi="Times New Roman"/>
        </w:rPr>
        <w:t xml:space="preserve"> (versus deterministic dilemmas)</w:t>
      </w:r>
      <w:r w:rsidR="00D62B4A" w:rsidRPr="002208A3">
        <w:rPr>
          <w:rFonts w:ascii="Times New Roman" w:hAnsi="Times New Roman"/>
        </w:rPr>
        <w:t xml:space="preserve"> pay much more attention to probabilities than to their counterpart</w:t>
      </w:r>
      <w:r w:rsidR="00577EEE">
        <w:rPr>
          <w:rFonts w:ascii="Times New Roman" w:hAnsi="Times New Roman"/>
        </w:rPr>
        <w:t>s</w:t>
      </w:r>
      <w:r w:rsidR="00DA68EC">
        <w:rPr>
          <w:rFonts w:ascii="Times New Roman" w:hAnsi="Times New Roman"/>
        </w:rPr>
        <w:t>, perhaps</w:t>
      </w:r>
      <w:r w:rsidR="00577EEE">
        <w:rPr>
          <w:rFonts w:ascii="Times New Roman" w:hAnsi="Times New Roman"/>
        </w:rPr>
        <w:t xml:space="preserve"> because the</w:t>
      </w:r>
      <w:r w:rsidR="00DA68EC">
        <w:rPr>
          <w:rFonts w:ascii="Times New Roman" w:hAnsi="Times New Roman"/>
        </w:rPr>
        <w:t>y view the game</w:t>
      </w:r>
      <w:r w:rsidR="00395FC3">
        <w:rPr>
          <w:rFonts w:ascii="Times New Roman" w:hAnsi="Times New Roman"/>
        </w:rPr>
        <w:t xml:space="preserve"> as one of </w:t>
      </w:r>
      <w:r w:rsidR="0022450D" w:rsidRPr="002208A3">
        <w:rPr>
          <w:rFonts w:ascii="Times New Roman" w:hAnsi="Times New Roman"/>
        </w:rPr>
        <w:t>chance</w:t>
      </w:r>
      <w:r w:rsidR="00DA68EC">
        <w:rPr>
          <w:rFonts w:ascii="Times New Roman" w:hAnsi="Times New Roman"/>
        </w:rPr>
        <w:t>,</w:t>
      </w:r>
      <w:r w:rsidR="00395FC3">
        <w:rPr>
          <w:rFonts w:ascii="Times New Roman" w:hAnsi="Times New Roman"/>
        </w:rPr>
        <w:t xml:space="preserve"> </w:t>
      </w:r>
      <w:r w:rsidR="00DA68EC">
        <w:rPr>
          <w:rFonts w:ascii="Times New Roman" w:hAnsi="Times New Roman"/>
        </w:rPr>
        <w:t xml:space="preserve">and </w:t>
      </w:r>
      <w:r w:rsidR="00D62B4A" w:rsidRPr="002208A3">
        <w:rPr>
          <w:rFonts w:ascii="Times New Roman" w:hAnsi="Times New Roman"/>
        </w:rPr>
        <w:t xml:space="preserve">participants </w:t>
      </w:r>
      <w:r w:rsidR="00395FC3">
        <w:rPr>
          <w:rFonts w:ascii="Times New Roman" w:hAnsi="Times New Roman"/>
        </w:rPr>
        <w:t xml:space="preserve">are </w:t>
      </w:r>
      <w:r w:rsidR="00D62B4A" w:rsidRPr="002208A3">
        <w:rPr>
          <w:rFonts w:ascii="Times New Roman" w:hAnsi="Times New Roman"/>
        </w:rPr>
        <w:t xml:space="preserve">risk-seeking </w:t>
      </w:r>
      <w:r w:rsidR="00974F97">
        <w:rPr>
          <w:rFonts w:ascii="Times New Roman" w:hAnsi="Times New Roman"/>
        </w:rPr>
        <w:t>to</w:t>
      </w:r>
      <w:r w:rsidR="00D62B4A" w:rsidRPr="002208A3">
        <w:rPr>
          <w:rFonts w:ascii="Times New Roman" w:hAnsi="Times New Roman"/>
        </w:rPr>
        <w:t xml:space="preserve"> avoid the sure loss</w:t>
      </w:r>
      <w:r w:rsidR="00DA68EC">
        <w:rPr>
          <w:rFonts w:ascii="Times New Roman" w:hAnsi="Times New Roman"/>
        </w:rPr>
        <w:t xml:space="preserve"> associated with investing in security</w:t>
      </w:r>
      <w:r w:rsidR="00D62B4A" w:rsidRPr="002208A3">
        <w:rPr>
          <w:rFonts w:ascii="Times New Roman" w:hAnsi="Times New Roman"/>
        </w:rPr>
        <w:t xml:space="preserve">. </w:t>
      </w:r>
    </w:p>
    <w:p w14:paraId="7885314B" w14:textId="6A725DF2" w:rsidR="00B57999" w:rsidRPr="002208A3" w:rsidRDefault="007854F9" w:rsidP="00AF2B85">
      <w:pPr>
        <w:spacing w:line="480" w:lineRule="auto"/>
        <w:rPr>
          <w:rFonts w:ascii="Times New Roman" w:hAnsi="Times New Roman"/>
        </w:rPr>
      </w:pPr>
      <w:r w:rsidRPr="002208A3">
        <w:rPr>
          <w:rFonts w:ascii="Times New Roman" w:hAnsi="Times New Roman"/>
        </w:rPr>
        <w:tab/>
      </w:r>
      <w:r w:rsidR="00AB063F">
        <w:rPr>
          <w:rFonts w:ascii="Times New Roman" w:hAnsi="Times New Roman"/>
        </w:rPr>
        <w:t>We test</w:t>
      </w:r>
      <w:r w:rsidR="00E21B13">
        <w:rPr>
          <w:rFonts w:ascii="Times New Roman" w:hAnsi="Times New Roman"/>
        </w:rPr>
        <w:t>ed</w:t>
      </w:r>
      <w:r w:rsidR="00AB063F">
        <w:rPr>
          <w:rFonts w:ascii="Times New Roman" w:hAnsi="Times New Roman"/>
        </w:rPr>
        <w:t xml:space="preserve"> </w:t>
      </w:r>
      <w:r w:rsidR="00E21B13">
        <w:rPr>
          <w:rFonts w:ascii="Times New Roman" w:hAnsi="Times New Roman"/>
        </w:rPr>
        <w:t xml:space="preserve">binding </w:t>
      </w:r>
      <w:r w:rsidR="00AB063F">
        <w:rPr>
          <w:rFonts w:ascii="Times New Roman" w:hAnsi="Times New Roman"/>
        </w:rPr>
        <w:t>p</w:t>
      </w:r>
      <w:r w:rsidR="00AB063F" w:rsidRPr="002208A3">
        <w:rPr>
          <w:rFonts w:ascii="Times New Roman" w:hAnsi="Times New Roman"/>
        </w:rPr>
        <w:t xml:space="preserve">recommitment </w:t>
      </w:r>
      <w:r w:rsidR="00AB063F">
        <w:rPr>
          <w:rFonts w:ascii="Times New Roman" w:hAnsi="Times New Roman"/>
        </w:rPr>
        <w:t>a</w:t>
      </w:r>
      <w:r w:rsidR="00AB063F" w:rsidRPr="002208A3">
        <w:rPr>
          <w:rFonts w:ascii="Times New Roman" w:hAnsi="Times New Roman"/>
        </w:rPr>
        <w:t xml:space="preserve">s </w:t>
      </w:r>
      <w:r w:rsidR="00E71B3B" w:rsidRPr="002208A3">
        <w:rPr>
          <w:rFonts w:ascii="Times New Roman" w:hAnsi="Times New Roman"/>
        </w:rPr>
        <w:t xml:space="preserve">an intervention </w:t>
      </w:r>
      <w:r w:rsidR="00E21B13">
        <w:rPr>
          <w:rFonts w:ascii="Times New Roman" w:hAnsi="Times New Roman"/>
        </w:rPr>
        <w:t>and found that it</w:t>
      </w:r>
      <w:r w:rsidR="00E21B13" w:rsidRPr="002208A3">
        <w:rPr>
          <w:rFonts w:ascii="Times New Roman" w:hAnsi="Times New Roman"/>
        </w:rPr>
        <w:t xml:space="preserve"> </w:t>
      </w:r>
      <w:r w:rsidR="00E71B3B" w:rsidRPr="002208A3">
        <w:rPr>
          <w:rFonts w:ascii="Times New Roman" w:hAnsi="Times New Roman"/>
        </w:rPr>
        <w:t>increase</w:t>
      </w:r>
      <w:r w:rsidR="00E21B13">
        <w:rPr>
          <w:rFonts w:ascii="Times New Roman" w:hAnsi="Times New Roman"/>
        </w:rPr>
        <w:t>d</w:t>
      </w:r>
      <w:r w:rsidR="00395FC3">
        <w:rPr>
          <w:rFonts w:ascii="Times New Roman" w:hAnsi="Times New Roman"/>
        </w:rPr>
        <w:t xml:space="preserve"> </w:t>
      </w:r>
      <w:r w:rsidR="00E21B13">
        <w:rPr>
          <w:rFonts w:ascii="Times New Roman" w:hAnsi="Times New Roman"/>
        </w:rPr>
        <w:t xml:space="preserve">rates of </w:t>
      </w:r>
      <w:r w:rsidR="00E71B3B" w:rsidRPr="002208A3">
        <w:rPr>
          <w:rFonts w:ascii="Times New Roman" w:hAnsi="Times New Roman"/>
        </w:rPr>
        <w:t xml:space="preserve">investment </w:t>
      </w:r>
      <w:r w:rsidR="00E21B13">
        <w:rPr>
          <w:rFonts w:ascii="Times New Roman" w:hAnsi="Times New Roman"/>
        </w:rPr>
        <w:t xml:space="preserve">in protection against </w:t>
      </w:r>
      <w:r w:rsidR="00AB063F">
        <w:rPr>
          <w:rFonts w:ascii="Times New Roman" w:hAnsi="Times New Roman"/>
        </w:rPr>
        <w:t>low probability, high-magnitude risk</w:t>
      </w:r>
      <w:r w:rsidR="00E21B13">
        <w:rPr>
          <w:rFonts w:ascii="Times New Roman" w:hAnsi="Times New Roman"/>
        </w:rPr>
        <w:t xml:space="preserve"> in a social dilemma context</w:t>
      </w:r>
      <w:r w:rsidR="00E71B3B" w:rsidRPr="002208A3">
        <w:rPr>
          <w:rFonts w:ascii="Times New Roman" w:hAnsi="Times New Roman"/>
        </w:rPr>
        <w:t xml:space="preserve">. </w:t>
      </w:r>
      <w:r w:rsidR="00E21B13">
        <w:rPr>
          <w:rFonts w:ascii="Times New Roman" w:hAnsi="Times New Roman"/>
        </w:rPr>
        <w:t xml:space="preserve">Why does this happen? Through triangulation across methods and studies, we learned that binding precommitment is effective in these stochastic dilemmas because it 1) shifts focus toward avoiding the large probabilistic loss across multiple rounds and 2) it reduces negative focus on – and negative interactions with – </w:t>
      </w:r>
      <w:r w:rsidR="00E21B13">
        <w:rPr>
          <w:rFonts w:ascii="Times New Roman" w:hAnsi="Times New Roman"/>
        </w:rPr>
        <w:lastRenderedPageBreak/>
        <w:t xml:space="preserve">counterparts. </w:t>
      </w:r>
      <w:r w:rsidR="009C5AC4" w:rsidRPr="002208A3">
        <w:rPr>
          <w:rFonts w:ascii="Times New Roman" w:hAnsi="Times New Roman"/>
        </w:rPr>
        <w:t xml:space="preserve">For example, a home-owner might make different choices if buying </w:t>
      </w:r>
      <w:r w:rsidR="00E21B13">
        <w:rPr>
          <w:rFonts w:ascii="Times New Roman" w:hAnsi="Times New Roman"/>
        </w:rPr>
        <w:t xml:space="preserve">a </w:t>
      </w:r>
      <w:r w:rsidR="009C5AC4" w:rsidRPr="002208A3">
        <w:rPr>
          <w:rFonts w:ascii="Times New Roman" w:hAnsi="Times New Roman"/>
        </w:rPr>
        <w:t>fire-</w:t>
      </w:r>
      <w:r w:rsidR="00AD1DB4">
        <w:rPr>
          <w:rFonts w:ascii="Times New Roman" w:hAnsi="Times New Roman"/>
        </w:rPr>
        <w:t>protection policy</w:t>
      </w:r>
      <w:r w:rsidR="00AD1DB4" w:rsidRPr="002208A3">
        <w:rPr>
          <w:rFonts w:ascii="Times New Roman" w:hAnsi="Times New Roman"/>
        </w:rPr>
        <w:t xml:space="preserve"> </w:t>
      </w:r>
      <w:r w:rsidR="00395FC3">
        <w:rPr>
          <w:rFonts w:ascii="Times New Roman" w:hAnsi="Times New Roman"/>
        </w:rPr>
        <w:t>monthly</w:t>
      </w:r>
      <w:r w:rsidR="00E21B13">
        <w:rPr>
          <w:rFonts w:ascii="Times New Roman" w:hAnsi="Times New Roman"/>
        </w:rPr>
        <w:t xml:space="preserve">, </w:t>
      </w:r>
      <w:r w:rsidR="00395FC3">
        <w:rPr>
          <w:rFonts w:ascii="Times New Roman" w:hAnsi="Times New Roman"/>
        </w:rPr>
        <w:t>annually</w:t>
      </w:r>
      <w:r w:rsidR="00E21B13">
        <w:rPr>
          <w:rFonts w:ascii="Times New Roman" w:hAnsi="Times New Roman"/>
        </w:rPr>
        <w:t>, or a multi-year contract</w:t>
      </w:r>
      <w:r w:rsidR="00C15F70">
        <w:rPr>
          <w:rFonts w:ascii="Times New Roman" w:hAnsi="Times New Roman"/>
        </w:rPr>
        <w:t>.</w:t>
      </w:r>
      <w:r w:rsidR="00395FC3">
        <w:rPr>
          <w:rFonts w:ascii="Times New Roman" w:hAnsi="Times New Roman"/>
        </w:rPr>
        <w:t xml:space="preserve"> T</w:t>
      </w:r>
      <w:r w:rsidR="009C5AC4" w:rsidRPr="002208A3">
        <w:rPr>
          <w:rFonts w:ascii="Times New Roman" w:hAnsi="Times New Roman"/>
        </w:rPr>
        <w:t xml:space="preserve">he chance of a fire happening </w:t>
      </w:r>
      <w:r w:rsidR="00395FC3">
        <w:rPr>
          <w:rFonts w:ascii="Times New Roman" w:hAnsi="Times New Roman"/>
        </w:rPr>
        <w:t xml:space="preserve">next month is likely to be viewed as </w:t>
      </w:r>
      <w:r w:rsidR="009C5AC4" w:rsidRPr="002208A3">
        <w:rPr>
          <w:rFonts w:ascii="Times New Roman" w:hAnsi="Times New Roman"/>
        </w:rPr>
        <w:t>small</w:t>
      </w:r>
      <w:r w:rsidR="00395FC3">
        <w:rPr>
          <w:rFonts w:ascii="Times New Roman" w:hAnsi="Times New Roman"/>
        </w:rPr>
        <w:t xml:space="preserve"> so </w:t>
      </w:r>
      <w:r w:rsidR="009C5AC4" w:rsidRPr="002208A3">
        <w:rPr>
          <w:rFonts w:ascii="Times New Roman" w:hAnsi="Times New Roman"/>
        </w:rPr>
        <w:t>the homeowner may n</w:t>
      </w:r>
      <w:r w:rsidR="00395FC3">
        <w:rPr>
          <w:rFonts w:ascii="Times New Roman" w:hAnsi="Times New Roman"/>
        </w:rPr>
        <w:t xml:space="preserve">ot </w:t>
      </w:r>
      <w:r w:rsidR="009C5AC4" w:rsidRPr="002208A3">
        <w:rPr>
          <w:rFonts w:ascii="Times New Roman" w:hAnsi="Times New Roman"/>
        </w:rPr>
        <w:t>invest in protection</w:t>
      </w:r>
      <w:r w:rsidR="00395FC3">
        <w:rPr>
          <w:rFonts w:ascii="Times New Roman" w:hAnsi="Times New Roman"/>
        </w:rPr>
        <w:t xml:space="preserve"> voluntarily</w:t>
      </w:r>
      <w:r w:rsidR="009C5AC4" w:rsidRPr="002208A3">
        <w:rPr>
          <w:rFonts w:ascii="Times New Roman" w:hAnsi="Times New Roman"/>
        </w:rPr>
        <w:t>.</w:t>
      </w:r>
      <w:r w:rsidR="00553916">
        <w:rPr>
          <w:rFonts w:ascii="Times New Roman" w:hAnsi="Times New Roman"/>
        </w:rPr>
        <w:t xml:space="preserve"> Furthermore</w:t>
      </w:r>
      <w:r w:rsidR="00E21B13">
        <w:rPr>
          <w:rFonts w:ascii="Times New Roman" w:hAnsi="Times New Roman"/>
        </w:rPr>
        <w:t>, seeing neighbors without visible fire protection measures may dissuade the homeowner, leading them to cancel their costly protection policy after a few months.</w:t>
      </w:r>
      <w:r w:rsidR="009C5AC4" w:rsidRPr="002208A3">
        <w:rPr>
          <w:rFonts w:ascii="Times New Roman" w:hAnsi="Times New Roman"/>
        </w:rPr>
        <w:t xml:space="preserve"> However, when considering a</w:t>
      </w:r>
      <w:r w:rsidR="00395FC3">
        <w:rPr>
          <w:rFonts w:ascii="Times New Roman" w:hAnsi="Times New Roman"/>
        </w:rPr>
        <w:t xml:space="preserve">n annual </w:t>
      </w:r>
      <w:r w:rsidR="00AD1DB4">
        <w:rPr>
          <w:rFonts w:ascii="Times New Roman" w:hAnsi="Times New Roman"/>
        </w:rPr>
        <w:t xml:space="preserve">or multi-year </w:t>
      </w:r>
      <w:r w:rsidR="009C5AC4" w:rsidRPr="002208A3">
        <w:rPr>
          <w:rFonts w:ascii="Times New Roman" w:hAnsi="Times New Roman"/>
        </w:rPr>
        <w:t xml:space="preserve">policy, the </w:t>
      </w:r>
      <w:r w:rsidR="00F0597A">
        <w:rPr>
          <w:rFonts w:ascii="Times New Roman" w:hAnsi="Times New Roman"/>
        </w:rPr>
        <w:t>homeowners’ time-horizon is extended</w:t>
      </w:r>
      <w:r w:rsidR="009C5AC4" w:rsidRPr="002208A3">
        <w:rPr>
          <w:rFonts w:ascii="Times New Roman" w:hAnsi="Times New Roman"/>
        </w:rPr>
        <w:t xml:space="preserve">, </w:t>
      </w:r>
      <w:r w:rsidR="00F0597A">
        <w:rPr>
          <w:rFonts w:ascii="Times New Roman" w:hAnsi="Times New Roman"/>
        </w:rPr>
        <w:t xml:space="preserve">a focus on multiple years </w:t>
      </w:r>
      <w:r w:rsidR="00E21B13">
        <w:rPr>
          <w:rFonts w:ascii="Times New Roman" w:hAnsi="Times New Roman"/>
        </w:rPr>
        <w:t xml:space="preserve">of fire risk </w:t>
      </w:r>
      <w:r w:rsidR="00F0597A">
        <w:rPr>
          <w:rFonts w:ascii="Times New Roman" w:hAnsi="Times New Roman"/>
        </w:rPr>
        <w:t xml:space="preserve">is activated, </w:t>
      </w:r>
      <w:r w:rsidR="00E21B13">
        <w:rPr>
          <w:rFonts w:ascii="Times New Roman" w:hAnsi="Times New Roman"/>
        </w:rPr>
        <w:t xml:space="preserve">focus on neighbors’ actions is reduced, </w:t>
      </w:r>
      <w:r w:rsidR="009C5AC4" w:rsidRPr="002208A3">
        <w:rPr>
          <w:rFonts w:ascii="Times New Roman" w:hAnsi="Times New Roman"/>
        </w:rPr>
        <w:t xml:space="preserve">and the same </w:t>
      </w:r>
      <w:r w:rsidR="00E21B13">
        <w:rPr>
          <w:rFonts w:ascii="Times New Roman" w:hAnsi="Times New Roman"/>
        </w:rPr>
        <w:t>person</w:t>
      </w:r>
      <w:r w:rsidR="00E21B13" w:rsidRPr="002208A3">
        <w:rPr>
          <w:rFonts w:ascii="Times New Roman" w:hAnsi="Times New Roman"/>
        </w:rPr>
        <w:t xml:space="preserve"> </w:t>
      </w:r>
      <w:r w:rsidR="009C5AC4" w:rsidRPr="002208A3">
        <w:rPr>
          <w:rFonts w:ascii="Times New Roman" w:hAnsi="Times New Roman"/>
        </w:rPr>
        <w:t>might</w:t>
      </w:r>
      <w:r w:rsidR="00395FC3">
        <w:rPr>
          <w:rFonts w:ascii="Times New Roman" w:hAnsi="Times New Roman"/>
        </w:rPr>
        <w:t xml:space="preserve"> </w:t>
      </w:r>
      <w:r w:rsidR="00AD1DB4">
        <w:rPr>
          <w:rFonts w:ascii="Times New Roman" w:hAnsi="Times New Roman"/>
        </w:rPr>
        <w:t xml:space="preserve">invest in extended protection or choose </w:t>
      </w:r>
      <w:r w:rsidR="00E25C6C">
        <w:rPr>
          <w:rFonts w:ascii="Times New Roman" w:hAnsi="Times New Roman"/>
        </w:rPr>
        <w:t>a more expensive policy</w:t>
      </w:r>
      <w:r w:rsidR="009C5AC4" w:rsidRPr="002208A3">
        <w:rPr>
          <w:rFonts w:ascii="Times New Roman" w:hAnsi="Times New Roman"/>
        </w:rPr>
        <w:t>.</w:t>
      </w:r>
      <w:r w:rsidR="00395FC3">
        <w:rPr>
          <w:rFonts w:ascii="Times New Roman" w:hAnsi="Times New Roman"/>
        </w:rPr>
        <w:t xml:space="preserve"> If </w:t>
      </w:r>
      <w:r w:rsidR="00E21B13">
        <w:rPr>
          <w:rFonts w:ascii="Times New Roman" w:hAnsi="Times New Roman"/>
        </w:rPr>
        <w:t xml:space="preserve">the </w:t>
      </w:r>
      <w:r w:rsidR="00395FC3">
        <w:rPr>
          <w:rFonts w:ascii="Times New Roman" w:hAnsi="Times New Roman"/>
        </w:rPr>
        <w:t xml:space="preserve">fire </w:t>
      </w:r>
      <w:r w:rsidR="00E21B13">
        <w:rPr>
          <w:rFonts w:ascii="Times New Roman" w:hAnsi="Times New Roman"/>
        </w:rPr>
        <w:t xml:space="preserve">protection policy </w:t>
      </w:r>
      <w:r w:rsidR="00C15F70">
        <w:rPr>
          <w:rFonts w:ascii="Times New Roman" w:hAnsi="Times New Roman"/>
        </w:rPr>
        <w:t>were</w:t>
      </w:r>
      <w:r w:rsidR="00395FC3">
        <w:rPr>
          <w:rFonts w:ascii="Times New Roman" w:hAnsi="Times New Roman"/>
        </w:rPr>
        <w:t xml:space="preserve"> tied to </w:t>
      </w:r>
      <w:r w:rsidR="00337283">
        <w:rPr>
          <w:rFonts w:ascii="Times New Roman" w:hAnsi="Times New Roman"/>
        </w:rPr>
        <w:t>a</w:t>
      </w:r>
      <w:r w:rsidR="00395FC3">
        <w:rPr>
          <w:rFonts w:ascii="Times New Roman" w:hAnsi="Times New Roman"/>
        </w:rPr>
        <w:t xml:space="preserve"> mortgage</w:t>
      </w:r>
      <w:r w:rsidR="00E21B13">
        <w:rPr>
          <w:rFonts w:ascii="Times New Roman" w:hAnsi="Times New Roman"/>
        </w:rPr>
        <w:t>,</w:t>
      </w:r>
      <w:r w:rsidR="00395FC3">
        <w:rPr>
          <w:rFonts w:ascii="Times New Roman" w:hAnsi="Times New Roman"/>
        </w:rPr>
        <w:t xml:space="preserve"> the</w:t>
      </w:r>
      <w:r w:rsidR="00337283">
        <w:rPr>
          <w:rFonts w:ascii="Times New Roman" w:hAnsi="Times New Roman"/>
        </w:rPr>
        <w:t xml:space="preserve"> homeowner </w:t>
      </w:r>
      <w:r w:rsidR="00C15F70">
        <w:rPr>
          <w:rFonts w:ascii="Times New Roman" w:hAnsi="Times New Roman"/>
        </w:rPr>
        <w:t>might</w:t>
      </w:r>
      <w:r w:rsidR="00337283">
        <w:rPr>
          <w:rFonts w:ascii="Times New Roman" w:hAnsi="Times New Roman"/>
        </w:rPr>
        <w:t xml:space="preserve"> be even more interested in since the </w:t>
      </w:r>
      <w:r w:rsidR="00894196">
        <w:rPr>
          <w:rFonts w:ascii="Times New Roman" w:hAnsi="Times New Roman"/>
        </w:rPr>
        <w:t>commitment period</w:t>
      </w:r>
      <w:r w:rsidR="00337283">
        <w:rPr>
          <w:rFonts w:ascii="Times New Roman" w:hAnsi="Times New Roman"/>
        </w:rPr>
        <w:t xml:space="preserve"> </w:t>
      </w:r>
      <w:r w:rsidR="00E21B13">
        <w:rPr>
          <w:rFonts w:ascii="Times New Roman" w:hAnsi="Times New Roman"/>
        </w:rPr>
        <w:t xml:space="preserve">would </w:t>
      </w:r>
      <w:r w:rsidR="00337283">
        <w:rPr>
          <w:rFonts w:ascii="Times New Roman" w:hAnsi="Times New Roman"/>
        </w:rPr>
        <w:t xml:space="preserve">normally be </w:t>
      </w:r>
      <w:r w:rsidR="00E21B13">
        <w:rPr>
          <w:rFonts w:ascii="Times New Roman" w:hAnsi="Times New Roman"/>
        </w:rPr>
        <w:t xml:space="preserve">30 </w:t>
      </w:r>
      <w:r w:rsidR="00337283">
        <w:rPr>
          <w:rFonts w:ascii="Times New Roman" w:hAnsi="Times New Roman"/>
        </w:rPr>
        <w:t>years.</w:t>
      </w:r>
    </w:p>
    <w:p w14:paraId="28C0F22C" w14:textId="408B082C" w:rsidR="00E71B3B" w:rsidRPr="002208A3" w:rsidRDefault="00D86651" w:rsidP="00C6641B">
      <w:pPr>
        <w:spacing w:line="480" w:lineRule="auto"/>
        <w:rPr>
          <w:rFonts w:ascii="Times New Roman" w:hAnsi="Times New Roman"/>
        </w:rPr>
      </w:pPr>
      <w:r w:rsidRPr="002208A3">
        <w:rPr>
          <w:rFonts w:ascii="Times New Roman" w:hAnsi="Times New Roman"/>
        </w:rPr>
        <w:tab/>
      </w:r>
      <w:r w:rsidR="00827FB5">
        <w:rPr>
          <w:rFonts w:ascii="Times New Roman" w:hAnsi="Times New Roman"/>
        </w:rPr>
        <w:t>We found that t</w:t>
      </w:r>
      <w:r w:rsidR="00827FB5" w:rsidRPr="002208A3">
        <w:rPr>
          <w:rFonts w:ascii="Times New Roman" w:hAnsi="Times New Roman"/>
        </w:rPr>
        <w:t xml:space="preserve">he </w:t>
      </w:r>
      <w:r w:rsidRPr="002208A3">
        <w:rPr>
          <w:rFonts w:ascii="Times New Roman" w:hAnsi="Times New Roman"/>
        </w:rPr>
        <w:t xml:space="preserve">effects of uncertainty and precommitment in social dilemmas were </w:t>
      </w:r>
      <w:r w:rsidR="009470A9" w:rsidRPr="002208A3">
        <w:rPr>
          <w:rFonts w:ascii="Times New Roman" w:hAnsi="Times New Roman"/>
        </w:rPr>
        <w:t xml:space="preserve">reliable across </w:t>
      </w:r>
      <w:r w:rsidRPr="002208A3">
        <w:rPr>
          <w:rFonts w:ascii="Times New Roman" w:hAnsi="Times New Roman"/>
        </w:rPr>
        <w:t xml:space="preserve">both environmental and financially framed scenarios. However, future studies with different scenarios (that don't necessarily involve financial payouts) might yet find domain differences. </w:t>
      </w:r>
      <w:r w:rsidR="004D5CFE" w:rsidRPr="002208A3">
        <w:rPr>
          <w:rFonts w:ascii="Times New Roman" w:hAnsi="Times New Roman"/>
        </w:rPr>
        <w:t xml:space="preserve">Lotz </w:t>
      </w:r>
      <w:r w:rsidR="008456EE">
        <w:rPr>
          <w:rFonts w:ascii="Times New Roman" w:hAnsi="Times New Roman"/>
        </w:rPr>
        <w:fldChar w:fldCharType="begin" w:fldLock="1"/>
      </w:r>
      <w:r w:rsidR="005B1C17">
        <w:rPr>
          <w:rFonts w:ascii="Times New Roman" w:hAnsi="Times New Roman"/>
        </w:rPr>
        <w:instrText>ADDIN CSL_CITATION {"citationItems":[{"id":"ITEM-1","itemData":{"ISSN":"1932-6203","author":[{"dropping-particle":"","family":"Lotz","given":"Sebastian","non-dropping-particle":"","parse-names":false,"suffix":""}],"container-title":"PLoS One","id":"ITEM-1","issue":"7","issued":{"date-parts":[["2015"]]},"page":"e0131562","publisher":"Public Library of Science","title":"Spontaneous giving under structural inequality: Intuition promotes cooperation in asymmetric social dilemmas","type":"article-journal","volume":"10"},"uris":["http://www.mendeley.com/documents/?uuid=1adc0e46-a680-4f66-8978-58574fe3a6dd"]}],"mendeley":{"formattedCitation":"(Lotz, 2015)","manualFormatting":"(2015)","plainTextFormattedCitation":"(Lotz, 2015)","previouslyFormattedCitation":"(Lotz 2015)"},"properties":{"noteIndex":0},"schema":"https://github.com/citation-style-language/schema/raw/master/csl-citation.json"}</w:instrText>
      </w:r>
      <w:r w:rsidR="008456EE">
        <w:rPr>
          <w:rFonts w:ascii="Times New Roman" w:hAnsi="Times New Roman"/>
        </w:rPr>
        <w:fldChar w:fldCharType="separate"/>
      </w:r>
      <w:r w:rsidR="008456EE" w:rsidRPr="008456EE">
        <w:rPr>
          <w:rFonts w:ascii="Times New Roman" w:hAnsi="Times New Roman"/>
          <w:noProof/>
        </w:rPr>
        <w:t>(2015)</w:t>
      </w:r>
      <w:r w:rsidR="008456EE">
        <w:rPr>
          <w:rFonts w:ascii="Times New Roman" w:hAnsi="Times New Roman"/>
        </w:rPr>
        <w:fldChar w:fldCharType="end"/>
      </w:r>
      <w:r w:rsidR="004D5CFE" w:rsidRPr="002208A3">
        <w:rPr>
          <w:rFonts w:ascii="Times New Roman" w:hAnsi="Times New Roman"/>
        </w:rPr>
        <w:t xml:space="preserve"> found that people cooperate more when primed with intuitive thinking</w:t>
      </w:r>
      <w:r w:rsidR="00C15F70">
        <w:rPr>
          <w:rFonts w:ascii="Times New Roman" w:hAnsi="Times New Roman"/>
        </w:rPr>
        <w:t xml:space="preserve"> (i.e., </w:t>
      </w:r>
      <w:r w:rsidR="00E25C6C">
        <w:rPr>
          <w:rFonts w:ascii="Times New Roman" w:hAnsi="Times New Roman"/>
        </w:rPr>
        <w:t>S</w:t>
      </w:r>
      <w:r w:rsidR="00C15F70">
        <w:rPr>
          <w:rFonts w:ascii="Times New Roman" w:hAnsi="Times New Roman"/>
        </w:rPr>
        <w:t>ystem 1)</w:t>
      </w:r>
      <w:r w:rsidR="004D5CFE" w:rsidRPr="002208A3">
        <w:rPr>
          <w:rFonts w:ascii="Times New Roman" w:hAnsi="Times New Roman"/>
        </w:rPr>
        <w:t xml:space="preserve"> rather than reflective thinking</w:t>
      </w:r>
      <w:r w:rsidR="00C15F70">
        <w:rPr>
          <w:rFonts w:ascii="Times New Roman" w:hAnsi="Times New Roman"/>
        </w:rPr>
        <w:t xml:space="preserve"> (i.e., </w:t>
      </w:r>
      <w:r w:rsidR="00E25C6C">
        <w:rPr>
          <w:rFonts w:ascii="Times New Roman" w:hAnsi="Times New Roman"/>
        </w:rPr>
        <w:t>S</w:t>
      </w:r>
      <w:r w:rsidR="00C15F70">
        <w:rPr>
          <w:rFonts w:ascii="Times New Roman" w:hAnsi="Times New Roman"/>
        </w:rPr>
        <w:t>ystem 2)</w:t>
      </w:r>
      <w:r w:rsidR="00337283">
        <w:rPr>
          <w:rFonts w:ascii="Times New Roman" w:hAnsi="Times New Roman"/>
        </w:rPr>
        <w:t xml:space="preserve"> so </w:t>
      </w:r>
      <w:r w:rsidR="004D5CFE" w:rsidRPr="002208A3">
        <w:rPr>
          <w:rFonts w:ascii="Times New Roman" w:hAnsi="Times New Roman"/>
        </w:rPr>
        <w:t xml:space="preserve">a promising future direction would be to investigate whether precommitment </w:t>
      </w:r>
      <w:r w:rsidR="00337283">
        <w:rPr>
          <w:rFonts w:ascii="Times New Roman" w:hAnsi="Times New Roman"/>
        </w:rPr>
        <w:t xml:space="preserve">has an impact on the type of thinking in which individuals engage when deciding whether to invest in protective measures. </w:t>
      </w:r>
    </w:p>
    <w:p w14:paraId="0D17596E" w14:textId="12E07EE9" w:rsidR="00F07F90" w:rsidRDefault="00021C27" w:rsidP="00045078">
      <w:pPr>
        <w:spacing w:line="480" w:lineRule="auto"/>
        <w:rPr>
          <w:rFonts w:ascii="Times New Roman" w:hAnsi="Times New Roman"/>
        </w:rPr>
      </w:pPr>
      <w:r w:rsidRPr="002208A3">
        <w:rPr>
          <w:rFonts w:ascii="Times New Roman" w:hAnsi="Times New Roman"/>
        </w:rPr>
        <w:tab/>
      </w:r>
      <w:r w:rsidR="0029627C">
        <w:rPr>
          <w:rFonts w:ascii="Times New Roman" w:hAnsi="Times New Roman"/>
        </w:rPr>
        <w:t>A</w:t>
      </w:r>
      <w:r w:rsidR="0029627C" w:rsidRPr="002208A3">
        <w:rPr>
          <w:rFonts w:ascii="Times New Roman" w:hAnsi="Times New Roman"/>
        </w:rPr>
        <w:t xml:space="preserve"> </w:t>
      </w:r>
      <w:r w:rsidRPr="002208A3">
        <w:rPr>
          <w:rFonts w:ascii="Times New Roman" w:hAnsi="Times New Roman"/>
        </w:rPr>
        <w:t>caveat to</w:t>
      </w:r>
      <w:r w:rsidR="0029627C">
        <w:rPr>
          <w:rFonts w:ascii="Times New Roman" w:hAnsi="Times New Roman"/>
        </w:rPr>
        <w:t xml:space="preserve"> using</w:t>
      </w:r>
      <w:r w:rsidRPr="002208A3">
        <w:rPr>
          <w:rFonts w:ascii="Times New Roman" w:hAnsi="Times New Roman"/>
        </w:rPr>
        <w:t xml:space="preserve"> precommitment </w:t>
      </w:r>
      <w:r w:rsidR="0029627C">
        <w:rPr>
          <w:rFonts w:ascii="Times New Roman" w:hAnsi="Times New Roman"/>
        </w:rPr>
        <w:t>as an intervention in social dilemmas is that it seems to only increase investment when the commitments are binding, such as would be the case for a contract or long-term service agreement. Another major caveat</w:t>
      </w:r>
      <w:r w:rsidR="0029627C" w:rsidRPr="002208A3">
        <w:rPr>
          <w:rFonts w:ascii="Times New Roman" w:hAnsi="Times New Roman"/>
        </w:rPr>
        <w:t xml:space="preserve"> </w:t>
      </w:r>
      <w:r w:rsidRPr="002208A3">
        <w:rPr>
          <w:rFonts w:ascii="Times New Roman" w:hAnsi="Times New Roman"/>
        </w:rPr>
        <w:t xml:space="preserve">that </w:t>
      </w:r>
      <w:r w:rsidR="0029627C">
        <w:rPr>
          <w:rFonts w:ascii="Times New Roman" w:hAnsi="Times New Roman"/>
        </w:rPr>
        <w:t xml:space="preserve">precommitment </w:t>
      </w:r>
      <w:r w:rsidR="003320DB" w:rsidRPr="002208A3">
        <w:rPr>
          <w:rFonts w:ascii="Times New Roman" w:hAnsi="Times New Roman"/>
        </w:rPr>
        <w:t>eventually</w:t>
      </w:r>
      <w:r w:rsidRPr="002208A3">
        <w:rPr>
          <w:rFonts w:ascii="Times New Roman" w:hAnsi="Times New Roman"/>
        </w:rPr>
        <w:t xml:space="preserve"> </w:t>
      </w:r>
      <w:r w:rsidRPr="002208A3">
        <w:rPr>
          <w:rFonts w:ascii="Times New Roman" w:hAnsi="Times New Roman"/>
          <w:i/>
        </w:rPr>
        <w:t>lowers</w:t>
      </w:r>
      <w:r w:rsidRPr="002208A3">
        <w:rPr>
          <w:rFonts w:ascii="Times New Roman" w:hAnsi="Times New Roman"/>
        </w:rPr>
        <w:t xml:space="preserve"> investment </w:t>
      </w:r>
      <w:r w:rsidR="0029627C">
        <w:rPr>
          <w:rFonts w:ascii="Times New Roman" w:hAnsi="Times New Roman"/>
        </w:rPr>
        <w:t xml:space="preserve">rates </w:t>
      </w:r>
      <w:r w:rsidRPr="002208A3">
        <w:rPr>
          <w:rFonts w:ascii="Times New Roman" w:hAnsi="Times New Roman"/>
        </w:rPr>
        <w:t xml:space="preserve">in social dilemmas with </w:t>
      </w:r>
      <w:r w:rsidR="004C2EAC">
        <w:rPr>
          <w:rFonts w:ascii="Times New Roman" w:hAnsi="Times New Roman"/>
        </w:rPr>
        <w:t>deterministic</w:t>
      </w:r>
      <w:r w:rsidR="004C2EAC" w:rsidRPr="002208A3">
        <w:rPr>
          <w:rFonts w:ascii="Times New Roman" w:hAnsi="Times New Roman"/>
        </w:rPr>
        <w:t xml:space="preserve"> </w:t>
      </w:r>
      <w:r w:rsidRPr="002208A3">
        <w:rPr>
          <w:rFonts w:ascii="Times New Roman" w:hAnsi="Times New Roman"/>
        </w:rPr>
        <w:lastRenderedPageBreak/>
        <w:t xml:space="preserve">outcomes. </w:t>
      </w:r>
      <w:r w:rsidR="00FB5A74" w:rsidRPr="002208A3">
        <w:rPr>
          <w:rFonts w:ascii="Times New Roman" w:hAnsi="Times New Roman"/>
        </w:rPr>
        <w:t xml:space="preserve">Therefore, the application of precommitment as a device to increase cooperation in real-world social dilemmas should be </w:t>
      </w:r>
      <w:r w:rsidR="0029627C">
        <w:rPr>
          <w:rFonts w:ascii="Times New Roman" w:hAnsi="Times New Roman"/>
        </w:rPr>
        <w:t xml:space="preserve">combined </w:t>
      </w:r>
      <w:r w:rsidR="00337283">
        <w:rPr>
          <w:rFonts w:ascii="Times New Roman" w:hAnsi="Times New Roman"/>
        </w:rPr>
        <w:t xml:space="preserve">in </w:t>
      </w:r>
      <w:r w:rsidR="00E913B1">
        <w:rPr>
          <w:rFonts w:ascii="Times New Roman" w:hAnsi="Times New Roman"/>
        </w:rPr>
        <w:t>realistic probabilities</w:t>
      </w:r>
      <w:r w:rsidR="006A3873">
        <w:rPr>
          <w:rFonts w:ascii="Times New Roman" w:hAnsi="Times New Roman"/>
        </w:rPr>
        <w:t xml:space="preserve"> </w:t>
      </w:r>
      <w:r w:rsidR="0029627C">
        <w:rPr>
          <w:rFonts w:ascii="Times New Roman" w:hAnsi="Times New Roman"/>
        </w:rPr>
        <w:t>of losses over the relevant time horizon</w:t>
      </w:r>
      <w:r w:rsidR="00FB5A74" w:rsidRPr="002208A3">
        <w:rPr>
          <w:rFonts w:ascii="Times New Roman" w:hAnsi="Times New Roman"/>
        </w:rPr>
        <w:t xml:space="preserve">. </w:t>
      </w:r>
    </w:p>
    <w:p w14:paraId="270DF90C" w14:textId="497162D9" w:rsidR="00A401D5" w:rsidRPr="00511D2D" w:rsidRDefault="003F16C7" w:rsidP="00511D2D">
      <w:pPr>
        <w:spacing w:line="480" w:lineRule="auto"/>
        <w:ind w:firstLine="720"/>
        <w:rPr>
          <w:rFonts w:ascii="Times New Roman" w:hAnsi="Times New Roman"/>
        </w:rPr>
      </w:pPr>
      <w:r>
        <w:rPr>
          <w:rFonts w:ascii="Times New Roman" w:hAnsi="Times New Roman"/>
        </w:rPr>
        <w:t>T</w:t>
      </w:r>
      <w:r w:rsidR="00653C68">
        <w:rPr>
          <w:rFonts w:ascii="Times New Roman" w:hAnsi="Times New Roman"/>
        </w:rPr>
        <w:t>his research makes the following contributions: 1) proposing and testing precommitment as a novel intervention in the context of social dilemmas,</w:t>
      </w:r>
      <w:r w:rsidR="004653B1">
        <w:rPr>
          <w:rFonts w:ascii="Times New Roman" w:hAnsi="Times New Roman"/>
        </w:rPr>
        <w:t xml:space="preserve"> and finding that binding precommitment increases cooperation rates stochastic prisoners dilemmas,</w:t>
      </w:r>
      <w:r w:rsidR="00653C68">
        <w:rPr>
          <w:rFonts w:ascii="Times New Roman" w:hAnsi="Times New Roman"/>
        </w:rPr>
        <w:t xml:space="preserve"> </w:t>
      </w:r>
      <w:r>
        <w:rPr>
          <w:rFonts w:ascii="Times New Roman" w:hAnsi="Times New Roman"/>
        </w:rPr>
        <w:t>2</w:t>
      </w:r>
      <w:r w:rsidR="00653C68">
        <w:rPr>
          <w:rFonts w:ascii="Times New Roman" w:hAnsi="Times New Roman"/>
        </w:rPr>
        <w:t>) demonstrating opposite effects of precommitment in stochastic versus deterministic prisoners dilemmas,</w:t>
      </w:r>
      <w:r w:rsidRPr="003F16C7">
        <w:rPr>
          <w:rFonts w:ascii="Times New Roman" w:hAnsi="Times New Roman"/>
        </w:rPr>
        <w:t xml:space="preserve"> </w:t>
      </w:r>
      <w:r>
        <w:rPr>
          <w:rFonts w:ascii="Times New Roman" w:hAnsi="Times New Roman"/>
        </w:rPr>
        <w:t xml:space="preserve">3) exploring the psychological mechanisms (effects of probability considerations and partner considerations) driving precommitted versus non-precommitted decisions, </w:t>
      </w:r>
      <w:r w:rsidR="00653C68">
        <w:rPr>
          <w:rFonts w:ascii="Times New Roman" w:hAnsi="Times New Roman"/>
        </w:rPr>
        <w:t xml:space="preserve">and 4) </w:t>
      </w:r>
      <w:r w:rsidR="00795A1C">
        <w:rPr>
          <w:rFonts w:ascii="Times New Roman" w:hAnsi="Times New Roman"/>
        </w:rPr>
        <w:t xml:space="preserve">finding </w:t>
      </w:r>
      <w:r>
        <w:rPr>
          <w:rFonts w:ascii="Times New Roman" w:hAnsi="Times New Roman"/>
        </w:rPr>
        <w:t xml:space="preserve">that </w:t>
      </w:r>
      <w:r w:rsidR="00653C68">
        <w:rPr>
          <w:rFonts w:ascii="Times New Roman" w:hAnsi="Times New Roman"/>
        </w:rPr>
        <w:t xml:space="preserve">non-binding precommitment </w:t>
      </w:r>
      <w:r>
        <w:rPr>
          <w:rFonts w:ascii="Times New Roman" w:hAnsi="Times New Roman"/>
        </w:rPr>
        <w:t xml:space="preserve">has little effect </w:t>
      </w:r>
      <w:r w:rsidR="00653C68">
        <w:rPr>
          <w:rFonts w:ascii="Times New Roman" w:hAnsi="Times New Roman"/>
        </w:rPr>
        <w:t>in stochastic dilemmas.</w:t>
      </w:r>
    </w:p>
    <w:p w14:paraId="2D613137" w14:textId="77777777" w:rsidR="004A3E1E" w:rsidRDefault="004A3E1E" w:rsidP="00511D2D">
      <w:pPr>
        <w:spacing w:line="480" w:lineRule="auto"/>
        <w:ind w:firstLine="720"/>
        <w:rPr>
          <w:rFonts w:ascii="Times New Roman" w:hAnsi="Times New Roman"/>
        </w:rPr>
      </w:pPr>
    </w:p>
    <w:p w14:paraId="63BD7668" w14:textId="52C2640A" w:rsidR="00F53CB7" w:rsidRPr="004A3E1E" w:rsidRDefault="004A3E1E" w:rsidP="00AF2B85">
      <w:pPr>
        <w:spacing w:line="480" w:lineRule="auto"/>
        <w:rPr>
          <w:rFonts w:ascii="Times New Roman" w:hAnsi="Times New Roman"/>
          <w:i/>
          <w:iCs/>
        </w:rPr>
      </w:pPr>
      <w:r w:rsidRPr="004A3E1E">
        <w:rPr>
          <w:rFonts w:ascii="Times New Roman" w:hAnsi="Times New Roman"/>
          <w:i/>
          <w:iCs/>
        </w:rPr>
        <w:t>Constraints on Generality</w:t>
      </w:r>
      <w:r w:rsidR="00C54894" w:rsidRPr="004A3E1E">
        <w:rPr>
          <w:rFonts w:ascii="Times New Roman" w:hAnsi="Times New Roman"/>
          <w:i/>
          <w:iCs/>
        </w:rPr>
        <w:t xml:space="preserve"> </w:t>
      </w:r>
    </w:p>
    <w:p w14:paraId="6C2C50C5" w14:textId="0648A982" w:rsidR="001B5EC3" w:rsidRPr="002208A3" w:rsidRDefault="00CE1A96" w:rsidP="00CE1A96">
      <w:pPr>
        <w:spacing w:line="480" w:lineRule="auto"/>
        <w:ind w:firstLine="720"/>
        <w:rPr>
          <w:rFonts w:ascii="Times New Roman" w:hAnsi="Times New Roman"/>
        </w:rPr>
      </w:pPr>
      <w:r w:rsidRPr="00CE1A96">
        <w:rPr>
          <w:rFonts w:ascii="Times New Roman" w:hAnsi="Times New Roman"/>
        </w:rPr>
        <w:t xml:space="preserve">The findings reported in this paper are based on samples of mostly students and staff members at two different universities in North America. Given the diversity of the sample </w:t>
      </w:r>
      <w:proofErr w:type="gramStart"/>
      <w:r w:rsidRPr="00CE1A96">
        <w:rPr>
          <w:rFonts w:ascii="Times New Roman" w:hAnsi="Times New Roman"/>
        </w:rPr>
        <w:t>pool</w:t>
      </w:r>
      <w:proofErr w:type="gramEnd"/>
      <w:r w:rsidRPr="00CE1A96">
        <w:rPr>
          <w:rFonts w:ascii="Times New Roman" w:hAnsi="Times New Roman"/>
        </w:rPr>
        <w:t xml:space="preserve"> we recruited in terms of gender, ethnicity, and political orientation as well as incentive compatibility of the experimental approach, we believe that our findings would generalize to similar populations. Two major constraints on generality are as follows: First, since most of our participants were university students, we do not have evidence for generalizability of our findings to lower or higher age ranges. Second, we cannot speak to generality of our findings </w:t>
      </w:r>
      <w:r w:rsidRPr="00395D8E">
        <w:rPr>
          <w:rFonts w:ascii="Times New Roman" w:hAnsi="Times New Roman"/>
        </w:rPr>
        <w:t>to non-WEIRD</w:t>
      </w:r>
      <w:r w:rsidR="00395D8E" w:rsidRPr="00395D8E">
        <w:rPr>
          <w:rFonts w:ascii="Times New Roman" w:hAnsi="Times New Roman"/>
        </w:rPr>
        <w:t xml:space="preserve"> populations</w:t>
      </w:r>
      <w:r w:rsidR="00395D8E">
        <w:rPr>
          <w:rFonts w:ascii="Times New Roman" w:hAnsi="Times New Roman"/>
        </w:rPr>
        <w:t xml:space="preserve"> </w:t>
      </w:r>
      <w:r w:rsidR="00395D8E">
        <w:rPr>
          <w:rFonts w:ascii="Times New Roman" w:hAnsi="Times New Roman"/>
        </w:rPr>
        <w:fldChar w:fldCharType="begin" w:fldLock="1"/>
      </w:r>
      <w:r w:rsidR="005B1C17">
        <w:rPr>
          <w:rFonts w:ascii="Times New Roman" w:hAnsi="Times New Roman"/>
        </w:rPr>
        <w:instrText>ADDIN CSL_CITATION {"citationItems":[{"id":"ITEM-1","itemData":{"DOI":"10.1017/S0140525X0999152X","ISSN":"14691825","PMID":"20550733","abstract":"Behavioral scientists routinely publish broad claims about human psychology and behavior in the world's top journals based on samples drawn entirely from Western, Educated, Industrialized, Rich, and Democratic (WEIRD) societies. Researchers-often implicitly-assume that either there is little variation across human populations, or that these standard subjects are as representative of the species as any other population. Are these assumptions justified? Here, our review of the comparative database from across the behavioral sciences suggests both that there is substantial variability in experimental results across populations and that WEIRD subjects are particularly unusual compared with the rest of the species-frequent outliers. The domains reviewed include visual perception, fairness, cooperation, spatial reasoning, categorization and inferential induction, moral reasoning, reasoning styles, self-concepts and related motivations, and the heritability of IQ. The findings suggest that members of WEIRD societies, including young children, are among the least representative populations one could find for generalizing about humans. Many of these findings involve domains that are associated with fundamental aspects of psychology, motivation, and behavior-hence, there are no obvious a priori grounds for claiming that a particular behavioral phenomenon is universal based on sampling from a single subpopulation. Overall, these empirical patterns suggests that we need to be less cavalier in addressing questions of human nature on the basis of data drawn from this particularly thin, and rather unusual, slice of humanity. We close by proposing ways to structurally re-organize the behavioral sciences to best tackle these challenges. Copyright © Cambridge University Press 2010.","author":[{"dropping-particle":"","family":"Henrich","given":"Joseph","non-dropping-particle":"","parse-names":false,"suffix":""},{"dropping-particle":"","family":"Heine","given":"Steven J.","non-dropping-particle":"","parse-names":false,"suffix":""},{"dropping-particle":"","family":"Norenzayan","given":"Ara","non-dropping-particle":"","parse-names":false,"suffix":""}],"container-title":"Behavioral and Brain Sciences","id":"ITEM-1","issue":"2-3","issued":{"date-parts":[["2010"]]},"page":"61-83","title":"The weirdest people in the world?","type":"article-journal","volume":"33"},"uris":["http://www.mendeley.com/documents/?uuid=99f9444b-a514-48cf-8167-e5a29c2bcdc5"]}],"mendeley":{"formattedCitation":"(Henrich et al., 2010)","plainTextFormattedCitation":"(Henrich et al., 2010)","previouslyFormattedCitation":"(Henrich et al. 2010)"},"properties":{"noteIndex":0},"schema":"https://github.com/citation-style-language/schema/raw/master/csl-citation.json"}</w:instrText>
      </w:r>
      <w:r w:rsidR="00395D8E">
        <w:rPr>
          <w:rFonts w:ascii="Times New Roman" w:hAnsi="Times New Roman"/>
        </w:rPr>
        <w:fldChar w:fldCharType="separate"/>
      </w:r>
      <w:r w:rsidR="005B1C17" w:rsidRPr="005B1C17">
        <w:rPr>
          <w:rFonts w:ascii="Times New Roman" w:hAnsi="Times New Roman"/>
          <w:noProof/>
        </w:rPr>
        <w:t>(Henrich et al., 2010)</w:t>
      </w:r>
      <w:r w:rsidR="00395D8E">
        <w:rPr>
          <w:rFonts w:ascii="Times New Roman" w:hAnsi="Times New Roman"/>
        </w:rPr>
        <w:fldChar w:fldCharType="end"/>
      </w:r>
      <w:r w:rsidR="00395D8E">
        <w:rPr>
          <w:rFonts w:ascii="Times New Roman" w:hAnsi="Times New Roman"/>
        </w:rPr>
        <w:t>.</w:t>
      </w:r>
      <w:r w:rsidRPr="00CE1A96">
        <w:rPr>
          <w:rFonts w:ascii="Times New Roman" w:hAnsi="Times New Roman"/>
        </w:rPr>
        <w:t xml:space="preserve"> In particular, people in interdependent cultures, with different levels of education, and/or with different levels of income, might take different approaches </w:t>
      </w:r>
      <w:r w:rsidR="00653C68">
        <w:rPr>
          <w:rFonts w:ascii="Times New Roman" w:hAnsi="Times New Roman"/>
        </w:rPr>
        <w:t xml:space="preserve">stochastic </w:t>
      </w:r>
      <w:r w:rsidRPr="00CE1A96">
        <w:rPr>
          <w:rFonts w:ascii="Times New Roman" w:hAnsi="Times New Roman"/>
        </w:rPr>
        <w:t xml:space="preserve">social dilemmas, influencing </w:t>
      </w:r>
      <w:r w:rsidRPr="00CE1A96">
        <w:rPr>
          <w:rFonts w:ascii="Times New Roman" w:hAnsi="Times New Roman"/>
        </w:rPr>
        <w:lastRenderedPageBreak/>
        <w:t xml:space="preserve">investment rates accordingly. However, as of yet, we have no reason to suspect that the effects of precommitment on investment rates would play out differently across different populations. This could be explored in future research.  </w:t>
      </w:r>
    </w:p>
    <w:p w14:paraId="5268DDA4" w14:textId="5348A0F5" w:rsidR="00653C68" w:rsidRPr="002208A3" w:rsidRDefault="00653C68" w:rsidP="00653C68">
      <w:pPr>
        <w:spacing w:line="480" w:lineRule="auto"/>
        <w:rPr>
          <w:rFonts w:ascii="Times New Roman" w:hAnsi="Times New Roman"/>
        </w:rPr>
      </w:pPr>
      <w:r w:rsidRPr="002208A3">
        <w:rPr>
          <w:rFonts w:ascii="Times New Roman" w:hAnsi="Times New Roman"/>
        </w:rPr>
        <w:tab/>
      </w:r>
      <w:r>
        <w:rPr>
          <w:rFonts w:ascii="Times New Roman" w:hAnsi="Times New Roman"/>
        </w:rPr>
        <w:t>Another</w:t>
      </w:r>
      <w:r w:rsidRPr="002208A3">
        <w:rPr>
          <w:rFonts w:ascii="Times New Roman" w:hAnsi="Times New Roman"/>
        </w:rPr>
        <w:t xml:space="preserve"> shortcoming is that the present research only used variations on one basic payoff matrix, so the robustness of the results is unknown. How would the effect of precommitment change if investment didn't completely eliminate uncertainty? </w:t>
      </w:r>
      <w:r w:rsidR="00202A1D">
        <w:rPr>
          <w:rFonts w:ascii="Times New Roman" w:hAnsi="Times New Roman"/>
        </w:rPr>
        <w:t xml:space="preserve">Or if the probabilities and associated large losses were less extreme, or gain framed? </w:t>
      </w:r>
      <w:r w:rsidRPr="002208A3">
        <w:rPr>
          <w:rFonts w:ascii="Times New Roman" w:hAnsi="Times New Roman"/>
        </w:rPr>
        <w:t xml:space="preserve">Or if there were two equilibria, </w:t>
      </w:r>
      <w:r w:rsidRPr="003B7E64">
        <w:rPr>
          <w:rFonts w:ascii="Times New Roman" w:hAnsi="Times New Roman"/>
        </w:rPr>
        <w:t xml:space="preserve">making the </w:t>
      </w:r>
      <w:r>
        <w:rPr>
          <w:rFonts w:ascii="Times New Roman" w:hAnsi="Times New Roman"/>
        </w:rPr>
        <w:t>game</w:t>
      </w:r>
      <w:r w:rsidRPr="003B7E64">
        <w:rPr>
          <w:rFonts w:ascii="Times New Roman" w:hAnsi="Times New Roman"/>
        </w:rPr>
        <w:t xml:space="preserve"> a case of coordination rather than dilemma</w:t>
      </w:r>
      <w:r w:rsidRPr="002208A3">
        <w:rPr>
          <w:rFonts w:ascii="Times New Roman" w:hAnsi="Times New Roman"/>
        </w:rPr>
        <w:t xml:space="preserve">? </w:t>
      </w:r>
      <w:r w:rsidR="00202A1D">
        <w:rPr>
          <w:rFonts w:ascii="Times New Roman" w:hAnsi="Times New Roman"/>
        </w:rPr>
        <w:t>Future research should exa</w:t>
      </w:r>
      <w:r w:rsidR="009C7CB8">
        <w:rPr>
          <w:rFonts w:ascii="Times New Roman" w:hAnsi="Times New Roman"/>
        </w:rPr>
        <w:t xml:space="preserve">mine these questions. </w:t>
      </w:r>
    </w:p>
    <w:p w14:paraId="20E3E939" w14:textId="2C9B8A90" w:rsidR="00E25C6C" w:rsidRDefault="00653C68" w:rsidP="00653C68">
      <w:pPr>
        <w:spacing w:line="480" w:lineRule="auto"/>
        <w:rPr>
          <w:rFonts w:ascii="Times New Roman" w:hAnsi="Times New Roman"/>
          <w:b/>
          <w:bCs/>
        </w:rPr>
      </w:pPr>
      <w:r w:rsidRPr="002208A3">
        <w:rPr>
          <w:rFonts w:ascii="Times New Roman" w:hAnsi="Times New Roman"/>
        </w:rPr>
        <w:tab/>
      </w:r>
      <w:r w:rsidR="00202A1D">
        <w:rPr>
          <w:rFonts w:ascii="Times New Roman" w:hAnsi="Times New Roman"/>
        </w:rPr>
        <w:t>More broadly, f</w:t>
      </w:r>
      <w:r w:rsidRPr="002208A3">
        <w:rPr>
          <w:rFonts w:ascii="Times New Roman" w:hAnsi="Times New Roman"/>
        </w:rPr>
        <w:t xml:space="preserve">uture research on social dilemmas should do more to incorporate and explore </w:t>
      </w:r>
      <w:r>
        <w:rPr>
          <w:rFonts w:ascii="Times New Roman" w:hAnsi="Times New Roman"/>
        </w:rPr>
        <w:t>risk and uncertainty</w:t>
      </w:r>
      <w:r w:rsidRPr="002208A3">
        <w:rPr>
          <w:rFonts w:ascii="Times New Roman" w:hAnsi="Times New Roman"/>
        </w:rPr>
        <w:t xml:space="preserve">. Real-world social dilemmas of interest, such as </w:t>
      </w:r>
      <w:r>
        <w:rPr>
          <w:rFonts w:ascii="Times New Roman" w:hAnsi="Times New Roman"/>
        </w:rPr>
        <w:t>pandemics</w:t>
      </w:r>
      <w:r w:rsidRPr="002208A3">
        <w:rPr>
          <w:rFonts w:ascii="Times New Roman" w:hAnsi="Times New Roman"/>
        </w:rPr>
        <w:t xml:space="preserve"> and climate change, involve </w:t>
      </w:r>
      <w:r w:rsidR="00202A1D">
        <w:rPr>
          <w:rFonts w:ascii="Times New Roman" w:hAnsi="Times New Roman"/>
        </w:rPr>
        <w:t xml:space="preserve">large risks and also </w:t>
      </w:r>
      <w:r w:rsidRPr="002208A3">
        <w:rPr>
          <w:rFonts w:ascii="Times New Roman" w:hAnsi="Times New Roman"/>
        </w:rPr>
        <w:t>uncertainties in outcomes</w:t>
      </w:r>
      <w:r>
        <w:rPr>
          <w:rFonts w:ascii="Times New Roman" w:hAnsi="Times New Roman"/>
        </w:rPr>
        <w:t>, where precise risk levels are often unknown</w:t>
      </w:r>
      <w:r w:rsidRPr="002208A3">
        <w:rPr>
          <w:rFonts w:ascii="Times New Roman" w:hAnsi="Times New Roman"/>
        </w:rPr>
        <w:t>. By including th</w:t>
      </w:r>
      <w:r w:rsidR="00202A1D">
        <w:rPr>
          <w:rFonts w:ascii="Times New Roman" w:hAnsi="Times New Roman"/>
        </w:rPr>
        <w:t>ese risks and uncertainties</w:t>
      </w:r>
      <w:r w:rsidRPr="002208A3">
        <w:rPr>
          <w:rFonts w:ascii="Times New Roman" w:hAnsi="Times New Roman"/>
        </w:rPr>
        <w:t xml:space="preserve"> in our theoretical </w:t>
      </w:r>
      <w:r>
        <w:rPr>
          <w:rFonts w:ascii="Times New Roman" w:hAnsi="Times New Roman"/>
        </w:rPr>
        <w:t xml:space="preserve">empirical </w:t>
      </w:r>
      <w:r w:rsidRPr="002208A3">
        <w:rPr>
          <w:rFonts w:ascii="Times New Roman" w:hAnsi="Times New Roman"/>
        </w:rPr>
        <w:t>models</w:t>
      </w:r>
      <w:r>
        <w:rPr>
          <w:rFonts w:ascii="Times New Roman" w:hAnsi="Times New Roman"/>
        </w:rPr>
        <w:t>,</w:t>
      </w:r>
      <w:r w:rsidRPr="002208A3">
        <w:rPr>
          <w:rFonts w:ascii="Times New Roman" w:hAnsi="Times New Roman"/>
        </w:rPr>
        <w:t xml:space="preserve"> we can hope to more effectively address the tragedy of the commons.</w:t>
      </w:r>
      <w:r>
        <w:rPr>
          <w:rFonts w:ascii="Times New Roman" w:hAnsi="Times New Roman"/>
        </w:rPr>
        <w:t xml:space="preserve"> </w:t>
      </w:r>
    </w:p>
    <w:p w14:paraId="6E66168F" w14:textId="77777777" w:rsidR="00653C68" w:rsidRPr="00511D2D" w:rsidRDefault="00653C68" w:rsidP="00511D2D">
      <w:pPr>
        <w:spacing w:line="480" w:lineRule="auto"/>
        <w:rPr>
          <w:rFonts w:ascii="Times New Roman" w:hAnsi="Times New Roman"/>
        </w:rPr>
      </w:pPr>
    </w:p>
    <w:p w14:paraId="6AF1496A" w14:textId="61C4F28A" w:rsidR="0095333C" w:rsidRDefault="001B5EC3" w:rsidP="00E25C6C">
      <w:pPr>
        <w:spacing w:line="480" w:lineRule="auto"/>
        <w:jc w:val="center"/>
        <w:rPr>
          <w:rFonts w:ascii="Times New Roman" w:hAnsi="Times New Roman"/>
          <w:b/>
          <w:bCs/>
        </w:rPr>
      </w:pPr>
      <w:r w:rsidRPr="002208A3">
        <w:rPr>
          <w:rFonts w:ascii="Times New Roman" w:hAnsi="Times New Roman"/>
          <w:b/>
          <w:bCs/>
        </w:rPr>
        <w:t>References</w:t>
      </w:r>
    </w:p>
    <w:p w14:paraId="480F705D" w14:textId="7E9C931C" w:rsidR="007A4222" w:rsidRDefault="007A4222" w:rsidP="00511D2D">
      <w:pPr>
        <w:spacing w:line="360" w:lineRule="auto"/>
        <w:ind w:left="567" w:hanging="567"/>
        <w:rPr>
          <w:rFonts w:ascii="Times New Roman" w:hAnsi="Times New Roman"/>
        </w:rPr>
      </w:pPr>
      <w:r w:rsidRPr="007A4222">
        <w:rPr>
          <w:rFonts w:ascii="Times New Roman" w:hAnsi="Times New Roman"/>
        </w:rPr>
        <w:t xml:space="preserve">Arora, P., Peterson, N. D., Krantz, D. H., Hardisty, D. J., &amp; Reddy, K. S. (2012). To cooperate or not to cooperate: Using new methodologies and frameworks to understand how affiliation influences cooperation in the present and future. </w:t>
      </w:r>
      <w:r w:rsidRPr="00511D2D">
        <w:rPr>
          <w:rFonts w:ascii="Times New Roman" w:hAnsi="Times New Roman"/>
          <w:i/>
          <w:iCs/>
        </w:rPr>
        <w:t>Journal of Economic Psychology, 33(4)</w:t>
      </w:r>
      <w:r w:rsidRPr="007A4222">
        <w:rPr>
          <w:rFonts w:ascii="Times New Roman" w:hAnsi="Times New Roman"/>
        </w:rPr>
        <w:t>, 842-853.</w:t>
      </w:r>
    </w:p>
    <w:p w14:paraId="4AD153DC" w14:textId="4B063441" w:rsidR="0095333C" w:rsidRDefault="0095333C" w:rsidP="00511D2D">
      <w:pPr>
        <w:spacing w:line="360" w:lineRule="auto"/>
        <w:ind w:left="567" w:hanging="567"/>
        <w:rPr>
          <w:rFonts w:ascii="Times New Roman" w:hAnsi="Times New Roman"/>
        </w:rPr>
      </w:pPr>
      <w:r w:rsidRPr="00511D2D">
        <w:rPr>
          <w:rFonts w:ascii="Times New Roman" w:hAnsi="Times New Roman"/>
        </w:rPr>
        <w:t xml:space="preserve">Axelrod, R. (1980). Effective choice in the prisoner’s dilemma. </w:t>
      </w:r>
      <w:r w:rsidRPr="00511D2D">
        <w:rPr>
          <w:rFonts w:ascii="Times New Roman" w:hAnsi="Times New Roman"/>
          <w:i/>
          <w:iCs/>
        </w:rPr>
        <w:t>Journal of Conflict Resolution, 24(1)</w:t>
      </w:r>
      <w:r w:rsidRPr="00511D2D">
        <w:rPr>
          <w:rFonts w:ascii="Times New Roman" w:hAnsi="Times New Roman"/>
        </w:rPr>
        <w:t>, 3–25.</w:t>
      </w:r>
    </w:p>
    <w:p w14:paraId="424C8E6D" w14:textId="533FE47E" w:rsidR="00294B82" w:rsidRPr="00511D2D" w:rsidRDefault="00294B82" w:rsidP="00511D2D">
      <w:pPr>
        <w:spacing w:line="360" w:lineRule="auto"/>
        <w:ind w:left="567" w:hanging="567"/>
        <w:rPr>
          <w:rFonts w:ascii="Times New Roman" w:hAnsi="Times New Roman"/>
        </w:rPr>
      </w:pPr>
      <w:r w:rsidRPr="00294B82">
        <w:rPr>
          <w:rFonts w:ascii="Times New Roman" w:hAnsi="Times New Roman"/>
        </w:rPr>
        <w:t xml:space="preserve">Axelrod, R., &amp; Hamilton, W. D. (1981). The Evolution of Cooperation. </w:t>
      </w:r>
      <w:r w:rsidRPr="00511D2D">
        <w:rPr>
          <w:rFonts w:ascii="Times New Roman" w:hAnsi="Times New Roman"/>
          <w:i/>
          <w:iCs/>
        </w:rPr>
        <w:t>Science, 211(4489)</w:t>
      </w:r>
      <w:r w:rsidRPr="00294B82">
        <w:rPr>
          <w:rFonts w:ascii="Times New Roman" w:hAnsi="Times New Roman"/>
        </w:rPr>
        <w:t>, 1390–1396. DOI: 10.1126/science.7466396</w:t>
      </w:r>
    </w:p>
    <w:p w14:paraId="5B8B0679"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lastRenderedPageBreak/>
        <w:t xml:space="preserve">Bolton, G., Greiner, B., &amp; Ockenfels, A. (2018). Dispute resolution or escalation? The strategic gaming of feedback withdrawal options in online markets. </w:t>
      </w:r>
      <w:r w:rsidRPr="00511D2D">
        <w:rPr>
          <w:rFonts w:ascii="Times New Roman" w:hAnsi="Times New Roman"/>
          <w:i/>
          <w:iCs/>
        </w:rPr>
        <w:t>Management Science, 64(9)</w:t>
      </w:r>
      <w:r w:rsidRPr="00511D2D">
        <w:rPr>
          <w:rFonts w:ascii="Times New Roman" w:hAnsi="Times New Roman"/>
        </w:rPr>
        <w:t>, 4009–4031.</w:t>
      </w:r>
    </w:p>
    <w:p w14:paraId="7F842AD7" w14:textId="77777777" w:rsidR="0095333C" w:rsidRDefault="0095333C" w:rsidP="00511D2D">
      <w:pPr>
        <w:spacing w:line="360" w:lineRule="auto"/>
        <w:ind w:left="567" w:hanging="567"/>
        <w:rPr>
          <w:rFonts w:ascii="Times New Roman" w:hAnsi="Times New Roman"/>
        </w:rPr>
      </w:pPr>
      <w:r w:rsidRPr="00511D2D">
        <w:rPr>
          <w:rFonts w:ascii="Times New Roman" w:hAnsi="Times New Roman"/>
        </w:rPr>
        <w:t xml:space="preserve">Botelho, A., Dinar, A., Pinto, L. M. C., &amp; Rapoport, A. (2014). Time and uncertainty in resource dilemmas: Equilibrium solutions and experimental results. </w:t>
      </w:r>
      <w:r w:rsidRPr="00511D2D">
        <w:rPr>
          <w:rFonts w:ascii="Times New Roman" w:hAnsi="Times New Roman"/>
          <w:i/>
          <w:iCs/>
        </w:rPr>
        <w:t>Experimental Economics, 17(4)</w:t>
      </w:r>
      <w:r w:rsidRPr="00511D2D">
        <w:rPr>
          <w:rFonts w:ascii="Times New Roman" w:hAnsi="Times New Roman"/>
        </w:rPr>
        <w:t>, 649–672.</w:t>
      </w:r>
    </w:p>
    <w:p w14:paraId="48F6C6CD" w14:textId="37DB5373" w:rsidR="00E566C9" w:rsidRPr="00511D2D" w:rsidRDefault="00E566C9" w:rsidP="00511D2D">
      <w:pPr>
        <w:spacing w:line="360" w:lineRule="auto"/>
        <w:ind w:left="567" w:hanging="567"/>
        <w:rPr>
          <w:rFonts w:ascii="Times New Roman" w:hAnsi="Times New Roman"/>
        </w:rPr>
      </w:pPr>
      <w:r w:rsidRPr="00E566C9">
        <w:rPr>
          <w:rFonts w:ascii="Times New Roman" w:hAnsi="Times New Roman"/>
        </w:rPr>
        <w:t xml:space="preserve">Brewer, M. B., &amp; Kramer, R. M. (1986). Choice behavior in social dilemmas: Effects of social identity, group size, and decision framing. </w:t>
      </w:r>
      <w:r w:rsidRPr="00511D2D">
        <w:rPr>
          <w:rFonts w:ascii="Times New Roman" w:hAnsi="Times New Roman"/>
          <w:i/>
          <w:iCs/>
        </w:rPr>
        <w:t>Journal of Personality and Social Psychology, 50(3)</w:t>
      </w:r>
      <w:r w:rsidRPr="00E566C9">
        <w:rPr>
          <w:rFonts w:ascii="Times New Roman" w:hAnsi="Times New Roman"/>
        </w:rPr>
        <w:t>, 543–549.</w:t>
      </w:r>
    </w:p>
    <w:p w14:paraId="0C6C86F9"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Budescu, D. V, Rapoport, A., &amp; Suleiman, R. (1990). Resource dilemmas with environmental uncertainty and asymmetric players. </w:t>
      </w:r>
      <w:r w:rsidRPr="00511D2D">
        <w:rPr>
          <w:rFonts w:ascii="Times New Roman" w:hAnsi="Times New Roman"/>
          <w:i/>
          <w:iCs/>
        </w:rPr>
        <w:t>European Journal of Social Psychology, 20(6)</w:t>
      </w:r>
      <w:r w:rsidRPr="00511D2D">
        <w:rPr>
          <w:rFonts w:ascii="Times New Roman" w:hAnsi="Times New Roman"/>
        </w:rPr>
        <w:t>, 475–487.</w:t>
      </w:r>
    </w:p>
    <w:p w14:paraId="3A82C484"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Chaudhry, S. J., Hand, M., &amp; </w:t>
      </w:r>
      <w:proofErr w:type="spellStart"/>
      <w:r w:rsidRPr="00511D2D">
        <w:rPr>
          <w:rFonts w:ascii="Times New Roman" w:hAnsi="Times New Roman"/>
        </w:rPr>
        <w:t>Kunreuther</w:t>
      </w:r>
      <w:proofErr w:type="spellEnd"/>
      <w:r w:rsidRPr="00511D2D">
        <w:rPr>
          <w:rFonts w:ascii="Times New Roman" w:hAnsi="Times New Roman"/>
        </w:rPr>
        <w:t>, H. (2018). Extending the time horizon: Elevating concern for rare events by communicating losses over a longer period of time. In Working paper# 2018-06. Risk Management and Decision Processes Center Philadelphia, PA.</w:t>
      </w:r>
    </w:p>
    <w:p w14:paraId="45B9CF6C"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Chen, X.-P. (1996). The group-based binding pledge as a solution to public goods problems. </w:t>
      </w:r>
      <w:r w:rsidRPr="00511D2D">
        <w:rPr>
          <w:rFonts w:ascii="Times New Roman" w:hAnsi="Times New Roman"/>
          <w:i/>
          <w:iCs/>
        </w:rPr>
        <w:t>Organizational Behavior and Human Decision Processes, 66(2)</w:t>
      </w:r>
      <w:r w:rsidRPr="00511D2D">
        <w:rPr>
          <w:rFonts w:ascii="Times New Roman" w:hAnsi="Times New Roman"/>
        </w:rPr>
        <w:t>, 192–202.</w:t>
      </w:r>
    </w:p>
    <w:p w14:paraId="0457496A" w14:textId="77777777" w:rsidR="0095333C" w:rsidRDefault="0095333C" w:rsidP="00511D2D">
      <w:pPr>
        <w:spacing w:line="360" w:lineRule="auto"/>
        <w:ind w:left="567" w:hanging="567"/>
        <w:rPr>
          <w:rFonts w:ascii="Times New Roman" w:hAnsi="Times New Roman"/>
        </w:rPr>
      </w:pPr>
      <w:r w:rsidRPr="00511D2D">
        <w:rPr>
          <w:rFonts w:ascii="Times New Roman" w:hAnsi="Times New Roman"/>
        </w:rPr>
        <w:t xml:space="preserve">Chen, X.-P., &amp; </w:t>
      </w:r>
      <w:proofErr w:type="spellStart"/>
      <w:r w:rsidRPr="00511D2D">
        <w:rPr>
          <w:rFonts w:ascii="Times New Roman" w:hAnsi="Times New Roman"/>
        </w:rPr>
        <w:t>Komorita</w:t>
      </w:r>
      <w:proofErr w:type="spellEnd"/>
      <w:r w:rsidRPr="00511D2D">
        <w:rPr>
          <w:rFonts w:ascii="Times New Roman" w:hAnsi="Times New Roman"/>
        </w:rPr>
        <w:t xml:space="preserve">, S. S. (1994). The effects of communication and commitment in a public </w:t>
      </w:r>
      <w:proofErr w:type="gramStart"/>
      <w:r w:rsidRPr="00511D2D">
        <w:rPr>
          <w:rFonts w:ascii="Times New Roman" w:hAnsi="Times New Roman"/>
        </w:rPr>
        <w:t>goods</w:t>
      </w:r>
      <w:proofErr w:type="gramEnd"/>
      <w:r w:rsidRPr="00511D2D">
        <w:rPr>
          <w:rFonts w:ascii="Times New Roman" w:hAnsi="Times New Roman"/>
        </w:rPr>
        <w:t xml:space="preserve"> social dilemma. </w:t>
      </w:r>
      <w:r w:rsidRPr="00511D2D">
        <w:rPr>
          <w:rFonts w:ascii="Times New Roman" w:hAnsi="Times New Roman"/>
          <w:i/>
          <w:iCs/>
        </w:rPr>
        <w:t>Organizational Behavior and Human Decision Processes, 60(3)</w:t>
      </w:r>
      <w:r w:rsidRPr="00511D2D">
        <w:rPr>
          <w:rFonts w:ascii="Times New Roman" w:hAnsi="Times New Roman"/>
        </w:rPr>
        <w:t>, 367–386.</w:t>
      </w:r>
    </w:p>
    <w:p w14:paraId="0116155C" w14:textId="7F27EF6A" w:rsidR="00502337" w:rsidRPr="00511D2D" w:rsidRDefault="00502337" w:rsidP="00511D2D">
      <w:pPr>
        <w:spacing w:line="360" w:lineRule="auto"/>
        <w:ind w:left="567" w:hanging="567"/>
        <w:rPr>
          <w:rFonts w:ascii="Times New Roman" w:hAnsi="Times New Roman"/>
        </w:rPr>
      </w:pPr>
      <w:r w:rsidRPr="00502337">
        <w:rPr>
          <w:rFonts w:ascii="Times New Roman" w:hAnsi="Times New Roman"/>
        </w:rPr>
        <w:t xml:space="preserve">Dawes, R. M., McTavish, J., &amp; Shaklee, H. (1977). Behavior, communication, and assumptions about other people's behavior in a </w:t>
      </w:r>
      <w:proofErr w:type="gramStart"/>
      <w:r w:rsidRPr="00502337">
        <w:rPr>
          <w:rFonts w:ascii="Times New Roman" w:hAnsi="Times New Roman"/>
        </w:rPr>
        <w:t>commons</w:t>
      </w:r>
      <w:proofErr w:type="gramEnd"/>
      <w:r w:rsidRPr="00502337">
        <w:rPr>
          <w:rFonts w:ascii="Times New Roman" w:hAnsi="Times New Roman"/>
        </w:rPr>
        <w:t xml:space="preserve"> dilemma situation. </w:t>
      </w:r>
      <w:r w:rsidRPr="00511D2D">
        <w:rPr>
          <w:rFonts w:ascii="Times New Roman" w:hAnsi="Times New Roman"/>
          <w:i/>
          <w:iCs/>
        </w:rPr>
        <w:t>Journal of Personality and Social Psychology, 35(1)</w:t>
      </w:r>
      <w:r w:rsidRPr="00502337">
        <w:rPr>
          <w:rFonts w:ascii="Times New Roman" w:hAnsi="Times New Roman"/>
        </w:rPr>
        <w:t>, 1–11.</w:t>
      </w:r>
    </w:p>
    <w:p w14:paraId="23A81F8E"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De </w:t>
      </w:r>
      <w:proofErr w:type="spellStart"/>
      <w:r w:rsidRPr="00511D2D">
        <w:rPr>
          <w:rFonts w:ascii="Times New Roman" w:hAnsi="Times New Roman"/>
        </w:rPr>
        <w:t>Kwaadsteniet</w:t>
      </w:r>
      <w:proofErr w:type="spellEnd"/>
      <w:r w:rsidRPr="00511D2D">
        <w:rPr>
          <w:rFonts w:ascii="Times New Roman" w:hAnsi="Times New Roman"/>
        </w:rPr>
        <w:t xml:space="preserve">, E. W., van Dijk, E., Wit, A., &amp; de Cremer, D. (2006). Social dilemmas as strong versus weak situations: Social value orientations and tacit coordination under resource size uncertainty. </w:t>
      </w:r>
      <w:r w:rsidRPr="00511D2D">
        <w:rPr>
          <w:rFonts w:ascii="Times New Roman" w:hAnsi="Times New Roman"/>
          <w:i/>
          <w:iCs/>
        </w:rPr>
        <w:t>Journal of Experimental Social Psychology, 42(4)</w:t>
      </w:r>
      <w:r w:rsidRPr="00511D2D">
        <w:rPr>
          <w:rFonts w:ascii="Times New Roman" w:hAnsi="Times New Roman"/>
        </w:rPr>
        <w:t>, 509–516.</w:t>
      </w:r>
    </w:p>
    <w:p w14:paraId="03CF5F55" w14:textId="77777777" w:rsidR="0095333C" w:rsidRDefault="0095333C" w:rsidP="00511D2D">
      <w:pPr>
        <w:spacing w:line="360" w:lineRule="auto"/>
        <w:ind w:left="567" w:hanging="567"/>
        <w:rPr>
          <w:rFonts w:ascii="Times New Roman" w:hAnsi="Times New Roman"/>
        </w:rPr>
      </w:pPr>
      <w:proofErr w:type="spellStart"/>
      <w:r w:rsidRPr="00511D2D">
        <w:rPr>
          <w:rFonts w:ascii="Times New Roman" w:hAnsi="Times New Roman"/>
        </w:rPr>
        <w:t>Faillo</w:t>
      </w:r>
      <w:proofErr w:type="spellEnd"/>
      <w:r w:rsidRPr="00511D2D">
        <w:rPr>
          <w:rFonts w:ascii="Times New Roman" w:hAnsi="Times New Roman"/>
        </w:rPr>
        <w:t xml:space="preserve">, M., Grieco, D., &amp; </w:t>
      </w:r>
      <w:proofErr w:type="spellStart"/>
      <w:r w:rsidRPr="00511D2D">
        <w:rPr>
          <w:rFonts w:ascii="Times New Roman" w:hAnsi="Times New Roman"/>
        </w:rPr>
        <w:t>Zarri</w:t>
      </w:r>
      <w:proofErr w:type="spellEnd"/>
      <w:r w:rsidRPr="00511D2D">
        <w:rPr>
          <w:rFonts w:ascii="Times New Roman" w:hAnsi="Times New Roman"/>
        </w:rPr>
        <w:t xml:space="preserve">, L. (2013). Legitimate punishment, feedback, and the enforcement of cooperation. </w:t>
      </w:r>
      <w:r w:rsidRPr="00511D2D">
        <w:rPr>
          <w:rFonts w:ascii="Times New Roman" w:hAnsi="Times New Roman"/>
          <w:i/>
          <w:iCs/>
        </w:rPr>
        <w:t>Games and Economic Behavior, 77(1)</w:t>
      </w:r>
      <w:r w:rsidRPr="00511D2D">
        <w:rPr>
          <w:rFonts w:ascii="Times New Roman" w:hAnsi="Times New Roman"/>
        </w:rPr>
        <w:t>, 271–283.</w:t>
      </w:r>
    </w:p>
    <w:p w14:paraId="56F56A43" w14:textId="33C7FE6F" w:rsidR="00695C46" w:rsidRDefault="00695C46" w:rsidP="00511D2D">
      <w:pPr>
        <w:spacing w:line="360" w:lineRule="auto"/>
        <w:ind w:left="567" w:hanging="567"/>
        <w:rPr>
          <w:rFonts w:ascii="Times New Roman" w:hAnsi="Times New Roman"/>
          <w:lang w:val="en-CA" w:eastAsia="en-CA"/>
        </w:rPr>
      </w:pPr>
      <w:r w:rsidRPr="00124B45">
        <w:rPr>
          <w:rFonts w:ascii="Times New Roman" w:hAnsi="Times New Roman"/>
          <w:lang w:val="en-CA" w:eastAsia="en-CA"/>
        </w:rPr>
        <w:lastRenderedPageBreak/>
        <w:t>Fehr, E</w:t>
      </w:r>
      <w:r>
        <w:rPr>
          <w:rFonts w:ascii="Times New Roman" w:hAnsi="Times New Roman"/>
          <w:lang w:val="en-CA" w:eastAsia="en-CA"/>
        </w:rPr>
        <w:t>.</w:t>
      </w:r>
      <w:r w:rsidRPr="00124B45">
        <w:rPr>
          <w:rFonts w:ascii="Times New Roman" w:hAnsi="Times New Roman"/>
          <w:lang w:val="en-CA" w:eastAsia="en-CA"/>
        </w:rPr>
        <w:t xml:space="preserve">, </w:t>
      </w:r>
      <w:r>
        <w:rPr>
          <w:rFonts w:ascii="Times New Roman" w:hAnsi="Times New Roman"/>
          <w:lang w:val="en-CA" w:eastAsia="en-CA"/>
        </w:rPr>
        <w:t xml:space="preserve">&amp; </w:t>
      </w:r>
      <w:proofErr w:type="spellStart"/>
      <w:r w:rsidRPr="00124B45">
        <w:rPr>
          <w:rFonts w:ascii="Times New Roman" w:hAnsi="Times New Roman"/>
          <w:lang w:val="en-CA" w:eastAsia="en-CA"/>
        </w:rPr>
        <w:t>Gächter</w:t>
      </w:r>
      <w:proofErr w:type="spellEnd"/>
      <w:r>
        <w:rPr>
          <w:rFonts w:ascii="Times New Roman" w:hAnsi="Times New Roman"/>
          <w:lang w:val="en-CA" w:eastAsia="en-CA"/>
        </w:rPr>
        <w:t>, S. (2000)</w:t>
      </w:r>
      <w:r w:rsidRPr="00124B45">
        <w:rPr>
          <w:rFonts w:ascii="Times New Roman" w:hAnsi="Times New Roman"/>
          <w:lang w:val="en-CA" w:eastAsia="en-CA"/>
        </w:rPr>
        <w:t xml:space="preserve">. "Cooperation and punishment in public goods experiments." </w:t>
      </w:r>
      <w:r w:rsidRPr="00124B45">
        <w:rPr>
          <w:rFonts w:ascii="Times New Roman" w:hAnsi="Times New Roman"/>
          <w:i/>
          <w:iCs/>
          <w:lang w:val="en-CA" w:eastAsia="en-CA"/>
        </w:rPr>
        <w:t>American Economic Review</w:t>
      </w:r>
      <w:r w:rsidRPr="00124B45">
        <w:rPr>
          <w:rFonts w:ascii="Times New Roman" w:hAnsi="Times New Roman"/>
          <w:lang w:val="en-CA" w:eastAsia="en-CA"/>
        </w:rPr>
        <w:t xml:space="preserve"> 90.4: 980-994.</w:t>
      </w:r>
    </w:p>
    <w:p w14:paraId="3174B503" w14:textId="0456299C" w:rsidR="00125141" w:rsidRPr="00511D2D" w:rsidRDefault="00125141" w:rsidP="00511D2D">
      <w:pPr>
        <w:spacing w:line="360" w:lineRule="auto"/>
        <w:ind w:left="567" w:hanging="567"/>
        <w:rPr>
          <w:rFonts w:ascii="Times New Roman" w:hAnsi="Times New Roman"/>
        </w:rPr>
      </w:pPr>
      <w:r w:rsidRPr="00125141">
        <w:rPr>
          <w:rFonts w:ascii="Times New Roman" w:hAnsi="Times New Roman"/>
        </w:rPr>
        <w:t xml:space="preserve">Fleishman, J. A. (1988). The effects of decision framing and others’ behavior on cooperation in a social dilemma. </w:t>
      </w:r>
      <w:r w:rsidRPr="00511D2D">
        <w:rPr>
          <w:rFonts w:ascii="Times New Roman" w:hAnsi="Times New Roman"/>
          <w:i/>
          <w:iCs/>
        </w:rPr>
        <w:t>Journal of Conflict Resolution, 32</w:t>
      </w:r>
      <w:r w:rsidRPr="00125141">
        <w:rPr>
          <w:rFonts w:ascii="Times New Roman" w:hAnsi="Times New Roman"/>
        </w:rPr>
        <w:t>, 162–180.</w:t>
      </w:r>
    </w:p>
    <w:p w14:paraId="45890410"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Furlong, E. E., &amp; Opfer, J. E. (2009). Cognitive constraints on how economic rewards affect cooperation. </w:t>
      </w:r>
      <w:r w:rsidRPr="00511D2D">
        <w:rPr>
          <w:rFonts w:ascii="Times New Roman" w:hAnsi="Times New Roman"/>
          <w:i/>
          <w:iCs/>
        </w:rPr>
        <w:t>Psychological Science, 20(1)</w:t>
      </w:r>
      <w:r w:rsidRPr="00511D2D">
        <w:rPr>
          <w:rFonts w:ascii="Times New Roman" w:hAnsi="Times New Roman"/>
        </w:rPr>
        <w:t>, 11–16.</w:t>
      </w:r>
    </w:p>
    <w:p w14:paraId="346DBEE4" w14:textId="77777777" w:rsidR="0095333C" w:rsidRPr="00511D2D" w:rsidRDefault="0095333C" w:rsidP="00511D2D">
      <w:pPr>
        <w:spacing w:line="360" w:lineRule="auto"/>
        <w:ind w:left="567" w:hanging="567"/>
        <w:rPr>
          <w:rFonts w:ascii="Times New Roman" w:hAnsi="Times New Roman"/>
        </w:rPr>
      </w:pPr>
      <w:proofErr w:type="spellStart"/>
      <w:r w:rsidRPr="00511D2D">
        <w:rPr>
          <w:rFonts w:ascii="Times New Roman" w:hAnsi="Times New Roman"/>
        </w:rPr>
        <w:t>Gaudeul</w:t>
      </w:r>
      <w:proofErr w:type="spellEnd"/>
      <w:r w:rsidRPr="00511D2D">
        <w:rPr>
          <w:rFonts w:ascii="Times New Roman" w:hAnsi="Times New Roman"/>
        </w:rPr>
        <w:t xml:space="preserve">, A., Crosetto, P., &amp; Riener, G. (2015). Of the stability of partnerships when individuals have outside options, or why allowing exit is inefficient. </w:t>
      </w:r>
      <w:r w:rsidRPr="00511D2D">
        <w:rPr>
          <w:rFonts w:ascii="Times New Roman" w:hAnsi="Times New Roman"/>
          <w:i/>
          <w:iCs/>
        </w:rPr>
        <w:t>Jena Economic Research Papers, 1</w:t>
      </w:r>
      <w:r w:rsidRPr="00511D2D">
        <w:rPr>
          <w:rFonts w:ascii="Times New Roman" w:hAnsi="Times New Roman"/>
        </w:rPr>
        <w:t>.</w:t>
      </w:r>
    </w:p>
    <w:p w14:paraId="71410BF0"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Gong, M., Baron, J., &amp; </w:t>
      </w:r>
      <w:proofErr w:type="spellStart"/>
      <w:r w:rsidRPr="00511D2D">
        <w:rPr>
          <w:rFonts w:ascii="Times New Roman" w:hAnsi="Times New Roman"/>
        </w:rPr>
        <w:t>Kunreuther</w:t>
      </w:r>
      <w:proofErr w:type="spellEnd"/>
      <w:r w:rsidRPr="00511D2D">
        <w:rPr>
          <w:rFonts w:ascii="Times New Roman" w:hAnsi="Times New Roman"/>
        </w:rPr>
        <w:t xml:space="preserve">, H. (2009). Group cooperation under uncertainty. </w:t>
      </w:r>
      <w:r w:rsidRPr="00511D2D">
        <w:rPr>
          <w:rFonts w:ascii="Times New Roman" w:hAnsi="Times New Roman"/>
          <w:i/>
          <w:iCs/>
        </w:rPr>
        <w:t>Journal of Risk and Uncertainty, 39(3)</w:t>
      </w:r>
      <w:r w:rsidRPr="00511D2D">
        <w:rPr>
          <w:rFonts w:ascii="Times New Roman" w:hAnsi="Times New Roman"/>
        </w:rPr>
        <w:t>, 251.</w:t>
      </w:r>
    </w:p>
    <w:p w14:paraId="6773F198"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Gustafsson, M., Biel, A., &amp; </w:t>
      </w:r>
      <w:proofErr w:type="spellStart"/>
      <w:r w:rsidRPr="00511D2D">
        <w:rPr>
          <w:rFonts w:ascii="Times New Roman" w:hAnsi="Times New Roman"/>
        </w:rPr>
        <w:t>Gärling</w:t>
      </w:r>
      <w:proofErr w:type="spellEnd"/>
      <w:r w:rsidRPr="00511D2D">
        <w:rPr>
          <w:rFonts w:ascii="Times New Roman" w:hAnsi="Times New Roman"/>
        </w:rPr>
        <w:t xml:space="preserve">, T. (1999). Overharvesting of resources of unknown size. </w:t>
      </w:r>
      <w:r w:rsidRPr="00511D2D">
        <w:rPr>
          <w:rFonts w:ascii="Times New Roman" w:hAnsi="Times New Roman"/>
          <w:i/>
          <w:iCs/>
        </w:rPr>
        <w:t xml:space="preserve">Acta </w:t>
      </w:r>
      <w:proofErr w:type="spellStart"/>
      <w:r w:rsidRPr="00511D2D">
        <w:rPr>
          <w:rFonts w:ascii="Times New Roman" w:hAnsi="Times New Roman"/>
          <w:i/>
          <w:iCs/>
        </w:rPr>
        <w:t>Psychologica</w:t>
      </w:r>
      <w:proofErr w:type="spellEnd"/>
      <w:r w:rsidRPr="00511D2D">
        <w:rPr>
          <w:rFonts w:ascii="Times New Roman" w:hAnsi="Times New Roman"/>
          <w:i/>
          <w:iCs/>
        </w:rPr>
        <w:t>, 103(1–2)</w:t>
      </w:r>
      <w:r w:rsidRPr="00511D2D">
        <w:rPr>
          <w:rFonts w:ascii="Times New Roman" w:hAnsi="Times New Roman"/>
        </w:rPr>
        <w:t>, 47–64.</w:t>
      </w:r>
    </w:p>
    <w:p w14:paraId="6608345A"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Heal, G., &amp; </w:t>
      </w:r>
      <w:proofErr w:type="spellStart"/>
      <w:r w:rsidRPr="00511D2D">
        <w:rPr>
          <w:rFonts w:ascii="Times New Roman" w:hAnsi="Times New Roman"/>
        </w:rPr>
        <w:t>Kunreuther</w:t>
      </w:r>
      <w:proofErr w:type="spellEnd"/>
      <w:r w:rsidRPr="00511D2D">
        <w:rPr>
          <w:rFonts w:ascii="Times New Roman" w:hAnsi="Times New Roman"/>
        </w:rPr>
        <w:t xml:space="preserve">, H. (2005). IDS models of airline security. </w:t>
      </w:r>
      <w:r w:rsidRPr="00511D2D">
        <w:rPr>
          <w:rFonts w:ascii="Times New Roman" w:hAnsi="Times New Roman"/>
          <w:i/>
          <w:iCs/>
        </w:rPr>
        <w:t>Journal of Conflict Resolution, 49(2)</w:t>
      </w:r>
      <w:r w:rsidRPr="00511D2D">
        <w:rPr>
          <w:rFonts w:ascii="Times New Roman" w:hAnsi="Times New Roman"/>
        </w:rPr>
        <w:t>, 201–217.</w:t>
      </w:r>
    </w:p>
    <w:p w14:paraId="63CD3C41"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Henrich, J., Heine, S. J., &amp; </w:t>
      </w:r>
      <w:proofErr w:type="spellStart"/>
      <w:r w:rsidRPr="00511D2D">
        <w:rPr>
          <w:rFonts w:ascii="Times New Roman" w:hAnsi="Times New Roman"/>
        </w:rPr>
        <w:t>Norenzayan</w:t>
      </w:r>
      <w:proofErr w:type="spellEnd"/>
      <w:r w:rsidRPr="00511D2D">
        <w:rPr>
          <w:rFonts w:ascii="Times New Roman" w:hAnsi="Times New Roman"/>
        </w:rPr>
        <w:t xml:space="preserve">, A. (2010). The weirdest people in the world? </w:t>
      </w:r>
      <w:r w:rsidRPr="00511D2D">
        <w:rPr>
          <w:rFonts w:ascii="Times New Roman" w:hAnsi="Times New Roman"/>
          <w:i/>
          <w:iCs/>
        </w:rPr>
        <w:t>Behavioral and Brain Sciences, 33(2–3)</w:t>
      </w:r>
      <w:r w:rsidRPr="00511D2D">
        <w:rPr>
          <w:rFonts w:ascii="Times New Roman" w:hAnsi="Times New Roman"/>
        </w:rPr>
        <w:t>, 61–83. https://doi.org/10.1017/S0140525X0999152X</w:t>
      </w:r>
    </w:p>
    <w:p w14:paraId="538D8877" w14:textId="77777777" w:rsidR="0095333C" w:rsidRDefault="0095333C" w:rsidP="00511D2D">
      <w:pPr>
        <w:spacing w:line="360" w:lineRule="auto"/>
        <w:ind w:left="567" w:hanging="567"/>
        <w:rPr>
          <w:rFonts w:ascii="Times New Roman" w:hAnsi="Times New Roman"/>
        </w:rPr>
      </w:pPr>
      <w:r w:rsidRPr="00511D2D">
        <w:rPr>
          <w:rFonts w:ascii="Times New Roman" w:hAnsi="Times New Roman"/>
        </w:rPr>
        <w:t xml:space="preserve">Kahneman, D., &amp; Tversky, A. (2013). Prospect theory: An analysis of decision under risk. In </w:t>
      </w:r>
      <w:r w:rsidRPr="00511D2D">
        <w:rPr>
          <w:rFonts w:ascii="Times New Roman" w:hAnsi="Times New Roman"/>
          <w:i/>
          <w:iCs/>
        </w:rPr>
        <w:t>Handbook of the fundamentals of financial decision making: Part I</w:t>
      </w:r>
      <w:r w:rsidRPr="00511D2D">
        <w:rPr>
          <w:rFonts w:ascii="Times New Roman" w:hAnsi="Times New Roman"/>
        </w:rPr>
        <w:t xml:space="preserve"> (pp. 99–127). World Scientific.</w:t>
      </w:r>
    </w:p>
    <w:p w14:paraId="70DEDE23" w14:textId="401D631A" w:rsidR="00125141" w:rsidRPr="00511D2D" w:rsidRDefault="00125141" w:rsidP="00511D2D">
      <w:pPr>
        <w:spacing w:line="360" w:lineRule="auto"/>
        <w:ind w:left="567" w:hanging="567"/>
        <w:rPr>
          <w:rFonts w:ascii="Times New Roman" w:hAnsi="Times New Roman"/>
        </w:rPr>
      </w:pPr>
      <w:r w:rsidRPr="00125141">
        <w:rPr>
          <w:rFonts w:ascii="Times New Roman" w:hAnsi="Times New Roman"/>
        </w:rPr>
        <w:t xml:space="preserve">Kerr, N. L. (1983). Motivation losses in small groups: A social dilemma analysis. </w:t>
      </w:r>
      <w:r w:rsidRPr="00511D2D">
        <w:rPr>
          <w:rFonts w:ascii="Times New Roman" w:hAnsi="Times New Roman"/>
          <w:i/>
          <w:iCs/>
        </w:rPr>
        <w:t>Journal of Personality and Social Psychology, 45</w:t>
      </w:r>
      <w:r w:rsidRPr="00125141">
        <w:rPr>
          <w:rFonts w:ascii="Times New Roman" w:hAnsi="Times New Roman"/>
        </w:rPr>
        <w:t>, 819–828.</w:t>
      </w:r>
    </w:p>
    <w:p w14:paraId="77B92AEC"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Kerr, N. L., &amp; Kaufman-Gilliland, C. M. (1994). Communication, commitment, and cooperation in social dilemma. </w:t>
      </w:r>
      <w:r w:rsidRPr="00511D2D">
        <w:rPr>
          <w:rFonts w:ascii="Times New Roman" w:hAnsi="Times New Roman"/>
          <w:i/>
          <w:iCs/>
        </w:rPr>
        <w:t>Journal of Personality and Social Psychology</w:t>
      </w:r>
      <w:r w:rsidRPr="00511D2D">
        <w:rPr>
          <w:rFonts w:ascii="Times New Roman" w:hAnsi="Times New Roman"/>
        </w:rPr>
        <w:t>, 66(3), 513.</w:t>
      </w:r>
    </w:p>
    <w:p w14:paraId="15B09CF1" w14:textId="0A0F69C0"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Köke, S., Lange, A., &amp; </w:t>
      </w:r>
      <w:proofErr w:type="spellStart"/>
      <w:r w:rsidRPr="00511D2D">
        <w:rPr>
          <w:rFonts w:ascii="Times New Roman" w:hAnsi="Times New Roman"/>
        </w:rPr>
        <w:t>Nicklisch</w:t>
      </w:r>
      <w:proofErr w:type="spellEnd"/>
      <w:r w:rsidRPr="00511D2D">
        <w:rPr>
          <w:rFonts w:ascii="Times New Roman" w:hAnsi="Times New Roman"/>
        </w:rPr>
        <w:t xml:space="preserve">, A. (2015). Adversity is a school of wisdom: experimental evidence on cooperative protection against stochastic losses. </w:t>
      </w:r>
      <w:proofErr w:type="spellStart"/>
      <w:r w:rsidRPr="00511D2D">
        <w:rPr>
          <w:rFonts w:ascii="Times New Roman" w:hAnsi="Times New Roman"/>
        </w:rPr>
        <w:t>WiSo-Forschungslabor</w:t>
      </w:r>
      <w:proofErr w:type="spellEnd"/>
      <w:r w:rsidR="0039468E">
        <w:rPr>
          <w:rFonts w:ascii="Times New Roman" w:hAnsi="Times New Roman"/>
        </w:rPr>
        <w:t xml:space="preserve"> Working Paper Series</w:t>
      </w:r>
      <w:r w:rsidRPr="00511D2D">
        <w:rPr>
          <w:rFonts w:ascii="Times New Roman" w:hAnsi="Times New Roman"/>
        </w:rPr>
        <w:t>.</w:t>
      </w:r>
    </w:p>
    <w:p w14:paraId="3381911C" w14:textId="77777777" w:rsidR="0095333C" w:rsidRPr="00511D2D" w:rsidRDefault="0095333C" w:rsidP="00511D2D">
      <w:pPr>
        <w:spacing w:line="360" w:lineRule="auto"/>
        <w:ind w:left="567" w:hanging="567"/>
        <w:rPr>
          <w:rFonts w:ascii="Times New Roman" w:hAnsi="Times New Roman"/>
        </w:rPr>
      </w:pPr>
      <w:proofErr w:type="spellStart"/>
      <w:r w:rsidRPr="00511D2D">
        <w:rPr>
          <w:rFonts w:ascii="Times New Roman" w:hAnsi="Times New Roman"/>
        </w:rPr>
        <w:t>Kunreuther</w:t>
      </w:r>
      <w:proofErr w:type="spellEnd"/>
      <w:r w:rsidRPr="00511D2D">
        <w:rPr>
          <w:rFonts w:ascii="Times New Roman" w:hAnsi="Times New Roman"/>
        </w:rPr>
        <w:t xml:space="preserve">, H., &amp; Heal, G. (2005). Interdependencies within an organization. In B. Hutter &amp; M. Power (Eds.), </w:t>
      </w:r>
      <w:r w:rsidRPr="00511D2D">
        <w:rPr>
          <w:rFonts w:ascii="Times New Roman" w:hAnsi="Times New Roman"/>
          <w:i/>
          <w:iCs/>
        </w:rPr>
        <w:t>Organizational Encounters with Risk</w:t>
      </w:r>
      <w:r w:rsidRPr="00511D2D">
        <w:rPr>
          <w:rFonts w:ascii="Times New Roman" w:hAnsi="Times New Roman"/>
        </w:rPr>
        <w:t xml:space="preserve"> (pp. 190–208). </w:t>
      </w:r>
      <w:r w:rsidRPr="00511D2D">
        <w:rPr>
          <w:rFonts w:ascii="Times New Roman" w:hAnsi="Times New Roman"/>
        </w:rPr>
        <w:lastRenderedPageBreak/>
        <w:t>Cambridge University Press. https://doi.org/DOI: 10.1017/CBO9780511488580.008</w:t>
      </w:r>
    </w:p>
    <w:p w14:paraId="0CA8A48F" w14:textId="77777777" w:rsidR="0095333C" w:rsidRDefault="0095333C" w:rsidP="00511D2D">
      <w:pPr>
        <w:spacing w:line="360" w:lineRule="auto"/>
        <w:ind w:left="567" w:hanging="567"/>
        <w:rPr>
          <w:rFonts w:ascii="Times New Roman" w:hAnsi="Times New Roman"/>
        </w:rPr>
      </w:pPr>
      <w:proofErr w:type="spellStart"/>
      <w:r w:rsidRPr="00511D2D">
        <w:rPr>
          <w:rFonts w:ascii="Times New Roman" w:hAnsi="Times New Roman"/>
        </w:rPr>
        <w:t>Kunreuther</w:t>
      </w:r>
      <w:proofErr w:type="spellEnd"/>
      <w:r w:rsidRPr="00511D2D">
        <w:rPr>
          <w:rFonts w:ascii="Times New Roman" w:hAnsi="Times New Roman"/>
        </w:rPr>
        <w:t xml:space="preserve">, H., </w:t>
      </w:r>
      <w:proofErr w:type="spellStart"/>
      <w:r w:rsidRPr="00511D2D">
        <w:rPr>
          <w:rFonts w:ascii="Times New Roman" w:hAnsi="Times New Roman"/>
        </w:rPr>
        <w:t>Silvasi</w:t>
      </w:r>
      <w:proofErr w:type="spellEnd"/>
      <w:r w:rsidRPr="00511D2D">
        <w:rPr>
          <w:rFonts w:ascii="Times New Roman" w:hAnsi="Times New Roman"/>
        </w:rPr>
        <w:t xml:space="preserve">, G., Bradlow, E., &amp; Small, D. (2009). Bayesian analysis of deterministic and stochastic prisoner’s dilemma games. </w:t>
      </w:r>
      <w:r w:rsidRPr="00511D2D">
        <w:rPr>
          <w:rFonts w:ascii="Times New Roman" w:hAnsi="Times New Roman"/>
          <w:i/>
          <w:iCs/>
        </w:rPr>
        <w:t>Judgment and Decision Making, 4(5)</w:t>
      </w:r>
      <w:r w:rsidRPr="00511D2D">
        <w:rPr>
          <w:rFonts w:ascii="Times New Roman" w:hAnsi="Times New Roman"/>
        </w:rPr>
        <w:t>, 363.</w:t>
      </w:r>
    </w:p>
    <w:p w14:paraId="2F8C8ED5" w14:textId="4F3F5638" w:rsidR="002418EF" w:rsidRPr="00511D2D" w:rsidRDefault="002418EF" w:rsidP="00511D2D">
      <w:pPr>
        <w:spacing w:line="360" w:lineRule="auto"/>
        <w:ind w:left="567" w:hanging="567"/>
        <w:rPr>
          <w:rFonts w:ascii="Times New Roman" w:hAnsi="Times New Roman"/>
        </w:rPr>
      </w:pPr>
      <w:r w:rsidRPr="002418EF">
        <w:rPr>
          <w:rFonts w:ascii="Times New Roman" w:hAnsi="Times New Roman"/>
        </w:rPr>
        <w:t xml:space="preserve">Kurzban, R., McCabe, K., Smith, V. L., Wilson, B. J. (2001). Incremental commitment and reciprocity in a real-time public goods game. </w:t>
      </w:r>
      <w:r w:rsidRPr="00511D2D">
        <w:rPr>
          <w:rFonts w:ascii="Times New Roman" w:hAnsi="Times New Roman"/>
          <w:i/>
          <w:iCs/>
        </w:rPr>
        <w:t>Personality and Social Psychology Bulletin, 27</w:t>
      </w:r>
      <w:r w:rsidRPr="002418EF">
        <w:rPr>
          <w:rFonts w:ascii="Times New Roman" w:hAnsi="Times New Roman"/>
        </w:rPr>
        <w:t>, 1162–1673.</w:t>
      </w:r>
    </w:p>
    <w:p w14:paraId="3CBDBD11"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Lotz, S. (2015). Spontaneous giving under structural inequality: Intuition promotes cooperation in asymmetric social dilemmas. </w:t>
      </w:r>
      <w:proofErr w:type="spellStart"/>
      <w:r w:rsidRPr="00511D2D">
        <w:rPr>
          <w:rFonts w:ascii="Times New Roman" w:hAnsi="Times New Roman"/>
          <w:i/>
          <w:iCs/>
        </w:rPr>
        <w:t>PLoS</w:t>
      </w:r>
      <w:proofErr w:type="spellEnd"/>
      <w:r w:rsidRPr="00511D2D">
        <w:rPr>
          <w:rFonts w:ascii="Times New Roman" w:hAnsi="Times New Roman"/>
          <w:i/>
          <w:iCs/>
        </w:rPr>
        <w:t xml:space="preserve"> One, 10(7)</w:t>
      </w:r>
      <w:r w:rsidRPr="00511D2D">
        <w:rPr>
          <w:rFonts w:ascii="Times New Roman" w:hAnsi="Times New Roman"/>
        </w:rPr>
        <w:t>, e0131562.</w:t>
      </w:r>
    </w:p>
    <w:p w14:paraId="560B1B14"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MacKay, D. J. C., Cramton, P., Ockenfels, A., &amp; </w:t>
      </w:r>
      <w:proofErr w:type="spellStart"/>
      <w:r w:rsidRPr="00511D2D">
        <w:rPr>
          <w:rFonts w:ascii="Times New Roman" w:hAnsi="Times New Roman"/>
        </w:rPr>
        <w:t>Stoft</w:t>
      </w:r>
      <w:proofErr w:type="spellEnd"/>
      <w:r w:rsidRPr="00511D2D">
        <w:rPr>
          <w:rFonts w:ascii="Times New Roman" w:hAnsi="Times New Roman"/>
        </w:rPr>
        <w:t xml:space="preserve">, S. (2015). Price carbon—I will if you will. </w:t>
      </w:r>
      <w:r w:rsidRPr="00511D2D">
        <w:rPr>
          <w:rFonts w:ascii="Times New Roman" w:hAnsi="Times New Roman"/>
          <w:i/>
          <w:iCs/>
        </w:rPr>
        <w:t>Nature, 526(7573)</w:t>
      </w:r>
      <w:r w:rsidRPr="00511D2D">
        <w:rPr>
          <w:rFonts w:ascii="Times New Roman" w:hAnsi="Times New Roman"/>
        </w:rPr>
        <w:t>, 315–316.</w:t>
      </w:r>
    </w:p>
    <w:p w14:paraId="130181DE" w14:textId="6DE5F498" w:rsidR="002B093B" w:rsidRDefault="002B093B" w:rsidP="00511D2D">
      <w:pPr>
        <w:spacing w:line="360" w:lineRule="auto"/>
        <w:ind w:left="567" w:hanging="567"/>
        <w:rPr>
          <w:rFonts w:ascii="Times New Roman" w:hAnsi="Times New Roman"/>
        </w:rPr>
      </w:pPr>
      <w:r w:rsidRPr="002B093B">
        <w:rPr>
          <w:rFonts w:ascii="Times New Roman" w:hAnsi="Times New Roman"/>
        </w:rPr>
        <w:t xml:space="preserve">Messick, D. M., Allison, S. T., Samuelson, C. D. (1988). Framing and communication effects on group members’ responses to environmental and social uncertainty. In S. Maital (ed.), </w:t>
      </w:r>
      <w:r w:rsidRPr="00511D2D">
        <w:rPr>
          <w:rFonts w:ascii="Times New Roman" w:hAnsi="Times New Roman"/>
          <w:i/>
          <w:iCs/>
        </w:rPr>
        <w:t>Applied Behavioural Economics</w:t>
      </w:r>
      <w:r w:rsidRPr="002B093B">
        <w:rPr>
          <w:rFonts w:ascii="Times New Roman" w:hAnsi="Times New Roman"/>
        </w:rPr>
        <w:t xml:space="preserve"> (Vol. 2, pp. 677–700). Brighton, UK: Wheatsheaf.</w:t>
      </w:r>
    </w:p>
    <w:p w14:paraId="031AA94F" w14:textId="6090184F"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Messick, D. M., &amp; Brewer, M. B. (2005). Solving social dilemmas: a review.</w:t>
      </w:r>
      <w:r w:rsidR="00115C1D">
        <w:rPr>
          <w:rFonts w:ascii="Times New Roman" w:hAnsi="Times New Roman"/>
        </w:rPr>
        <w:t xml:space="preserve"> </w:t>
      </w:r>
      <w:r w:rsidR="00115C1D" w:rsidRPr="00115C1D">
        <w:rPr>
          <w:rFonts w:ascii="Times New Roman" w:hAnsi="Times New Roman"/>
        </w:rPr>
        <w:t xml:space="preserve">In M. H. Bazerman (Ed.), </w:t>
      </w:r>
      <w:r w:rsidR="00115C1D" w:rsidRPr="00511D2D">
        <w:rPr>
          <w:rFonts w:ascii="Times New Roman" w:hAnsi="Times New Roman"/>
          <w:i/>
          <w:iCs/>
        </w:rPr>
        <w:t xml:space="preserve">Negotiation, </w:t>
      </w:r>
      <w:r w:rsidR="00115C1D">
        <w:rPr>
          <w:rFonts w:ascii="Times New Roman" w:hAnsi="Times New Roman"/>
          <w:i/>
          <w:iCs/>
        </w:rPr>
        <w:t>D</w:t>
      </w:r>
      <w:r w:rsidR="00115C1D" w:rsidRPr="00511D2D">
        <w:rPr>
          <w:rFonts w:ascii="Times New Roman" w:hAnsi="Times New Roman"/>
          <w:i/>
          <w:iCs/>
        </w:rPr>
        <w:t xml:space="preserve">ecision </w:t>
      </w:r>
      <w:r w:rsidR="00115C1D">
        <w:rPr>
          <w:rFonts w:ascii="Times New Roman" w:hAnsi="Times New Roman"/>
          <w:i/>
          <w:iCs/>
        </w:rPr>
        <w:t>M</w:t>
      </w:r>
      <w:r w:rsidR="00115C1D" w:rsidRPr="00511D2D">
        <w:rPr>
          <w:rFonts w:ascii="Times New Roman" w:hAnsi="Times New Roman"/>
          <w:i/>
          <w:iCs/>
        </w:rPr>
        <w:t xml:space="preserve">aking and </w:t>
      </w:r>
      <w:r w:rsidR="00115C1D">
        <w:rPr>
          <w:rFonts w:ascii="Times New Roman" w:hAnsi="Times New Roman"/>
          <w:i/>
          <w:iCs/>
        </w:rPr>
        <w:t>C</w:t>
      </w:r>
      <w:r w:rsidR="00115C1D" w:rsidRPr="00511D2D">
        <w:rPr>
          <w:rFonts w:ascii="Times New Roman" w:hAnsi="Times New Roman"/>
          <w:i/>
          <w:iCs/>
        </w:rPr>
        <w:t xml:space="preserve">onflict </w:t>
      </w:r>
      <w:r w:rsidR="00115C1D">
        <w:rPr>
          <w:rFonts w:ascii="Times New Roman" w:hAnsi="Times New Roman"/>
          <w:i/>
          <w:iCs/>
        </w:rPr>
        <w:t>M</w:t>
      </w:r>
      <w:r w:rsidR="00115C1D" w:rsidRPr="00511D2D">
        <w:rPr>
          <w:rFonts w:ascii="Times New Roman" w:hAnsi="Times New Roman"/>
          <w:i/>
          <w:iCs/>
        </w:rPr>
        <w:t>anagement, Vol. 1–3</w:t>
      </w:r>
      <w:r w:rsidR="00115C1D" w:rsidRPr="00115C1D">
        <w:rPr>
          <w:rFonts w:ascii="Times New Roman" w:hAnsi="Times New Roman"/>
        </w:rPr>
        <w:t xml:space="preserve"> (pp. 98–131). Edward Elgar Publishing.</w:t>
      </w:r>
      <w:r w:rsidR="00115C1D">
        <w:rPr>
          <w:rFonts w:ascii="Times New Roman" w:hAnsi="Times New Roman"/>
        </w:rPr>
        <w:t xml:space="preserve"> </w:t>
      </w:r>
    </w:p>
    <w:p w14:paraId="30DDE36A"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Read, D., Loewenstein, G., &amp; Rabin, M. (1999). Choice Bracketing. </w:t>
      </w:r>
      <w:r w:rsidRPr="00511D2D">
        <w:rPr>
          <w:rFonts w:ascii="Times New Roman" w:hAnsi="Times New Roman"/>
          <w:i/>
          <w:iCs/>
        </w:rPr>
        <w:t>Journal of Risk and Uncertainty, 19(1)</w:t>
      </w:r>
      <w:r w:rsidRPr="00511D2D">
        <w:rPr>
          <w:rFonts w:ascii="Times New Roman" w:hAnsi="Times New Roman"/>
        </w:rPr>
        <w:t>, 171–197. https://doi.org/10.1023/A:1007879411489</w:t>
      </w:r>
    </w:p>
    <w:p w14:paraId="4B6A1753" w14:textId="77777777" w:rsidR="0095333C" w:rsidRPr="00511D2D" w:rsidRDefault="0095333C" w:rsidP="00511D2D">
      <w:pPr>
        <w:spacing w:line="360" w:lineRule="auto"/>
        <w:ind w:left="567" w:hanging="567"/>
        <w:rPr>
          <w:rFonts w:ascii="Times New Roman" w:hAnsi="Times New Roman"/>
        </w:rPr>
      </w:pPr>
      <w:proofErr w:type="spellStart"/>
      <w:r w:rsidRPr="00511D2D">
        <w:rPr>
          <w:rFonts w:ascii="Times New Roman" w:hAnsi="Times New Roman"/>
        </w:rPr>
        <w:t>Redelmeier</w:t>
      </w:r>
      <w:proofErr w:type="spellEnd"/>
      <w:r w:rsidRPr="00511D2D">
        <w:rPr>
          <w:rFonts w:ascii="Times New Roman" w:hAnsi="Times New Roman"/>
        </w:rPr>
        <w:t xml:space="preserve">, D. A., &amp; Tversky, A. (1992). On the framing of multiple prospects. </w:t>
      </w:r>
      <w:r w:rsidRPr="00511D2D">
        <w:rPr>
          <w:rFonts w:ascii="Times New Roman" w:hAnsi="Times New Roman"/>
          <w:i/>
          <w:iCs/>
        </w:rPr>
        <w:t>Psychological Science, 3(3)</w:t>
      </w:r>
      <w:r w:rsidRPr="00511D2D">
        <w:rPr>
          <w:rFonts w:ascii="Times New Roman" w:hAnsi="Times New Roman"/>
        </w:rPr>
        <w:t>, 191–193.</w:t>
      </w:r>
    </w:p>
    <w:p w14:paraId="400DB660"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Roch, S. G., &amp; Samuelson, C. D. (1997). Effects of environmental uncertainty and social value orientation in resource dilemmas. </w:t>
      </w:r>
      <w:r w:rsidRPr="00511D2D">
        <w:rPr>
          <w:rFonts w:ascii="Times New Roman" w:hAnsi="Times New Roman"/>
          <w:i/>
          <w:iCs/>
        </w:rPr>
        <w:t>Organizational Behavior and Human Decision Processes, 70(3)</w:t>
      </w:r>
      <w:r w:rsidRPr="00511D2D">
        <w:rPr>
          <w:rFonts w:ascii="Times New Roman" w:hAnsi="Times New Roman"/>
        </w:rPr>
        <w:t>, 221–235.</w:t>
      </w:r>
    </w:p>
    <w:p w14:paraId="691A57F1" w14:textId="22A77008" w:rsidR="0095333C" w:rsidRDefault="0095333C" w:rsidP="00511D2D">
      <w:pPr>
        <w:spacing w:line="360" w:lineRule="auto"/>
        <w:ind w:left="567" w:hanging="567"/>
        <w:rPr>
          <w:rFonts w:ascii="Times New Roman" w:hAnsi="Times New Roman"/>
        </w:rPr>
      </w:pPr>
      <w:proofErr w:type="spellStart"/>
      <w:r w:rsidRPr="00511D2D">
        <w:rPr>
          <w:rFonts w:ascii="Times New Roman" w:hAnsi="Times New Roman"/>
        </w:rPr>
        <w:t>Rusbult</w:t>
      </w:r>
      <w:proofErr w:type="spellEnd"/>
      <w:r w:rsidRPr="00511D2D">
        <w:rPr>
          <w:rFonts w:ascii="Times New Roman" w:hAnsi="Times New Roman"/>
        </w:rPr>
        <w:t xml:space="preserve">, C. E. (2012). Interdependence theory. In P. A. M. Van Lange (Ed.), </w:t>
      </w:r>
      <w:r w:rsidRPr="00511D2D">
        <w:rPr>
          <w:rFonts w:ascii="Times New Roman" w:hAnsi="Times New Roman"/>
          <w:i/>
          <w:iCs/>
        </w:rPr>
        <w:t xml:space="preserve">Handbook of </w:t>
      </w:r>
      <w:r w:rsidR="009D0723">
        <w:rPr>
          <w:rFonts w:ascii="Times New Roman" w:hAnsi="Times New Roman"/>
          <w:i/>
          <w:iCs/>
        </w:rPr>
        <w:t>T</w:t>
      </w:r>
      <w:r w:rsidRPr="00511D2D">
        <w:rPr>
          <w:rFonts w:ascii="Times New Roman" w:hAnsi="Times New Roman"/>
          <w:i/>
          <w:iCs/>
        </w:rPr>
        <w:t xml:space="preserve">heories of </w:t>
      </w:r>
      <w:r w:rsidR="009D0723">
        <w:rPr>
          <w:rFonts w:ascii="Times New Roman" w:hAnsi="Times New Roman"/>
          <w:i/>
          <w:iCs/>
        </w:rPr>
        <w:t>S</w:t>
      </w:r>
      <w:r w:rsidRPr="00511D2D">
        <w:rPr>
          <w:rFonts w:ascii="Times New Roman" w:hAnsi="Times New Roman"/>
          <w:i/>
          <w:iCs/>
        </w:rPr>
        <w:t xml:space="preserve">ocial </w:t>
      </w:r>
      <w:r w:rsidR="009D0723">
        <w:rPr>
          <w:rFonts w:ascii="Times New Roman" w:hAnsi="Times New Roman"/>
          <w:i/>
          <w:iCs/>
        </w:rPr>
        <w:t>P</w:t>
      </w:r>
      <w:r w:rsidRPr="00511D2D">
        <w:rPr>
          <w:rFonts w:ascii="Times New Roman" w:hAnsi="Times New Roman"/>
          <w:i/>
          <w:iCs/>
        </w:rPr>
        <w:t xml:space="preserve">sychology, Vol. 2 </w:t>
      </w:r>
      <w:r w:rsidRPr="00511D2D">
        <w:rPr>
          <w:rFonts w:ascii="Times New Roman" w:hAnsi="Times New Roman"/>
        </w:rPr>
        <w:t xml:space="preserve">(pp. 251–272). Sage Publications Ltd. </w:t>
      </w:r>
      <w:hyperlink r:id="rId21" w:history="1">
        <w:r w:rsidR="00125141" w:rsidRPr="00511D2D">
          <w:rPr>
            <w:rStyle w:val="Hyperlink"/>
          </w:rPr>
          <w:t>https://doi.org/10.4135/9781446249222.n39</w:t>
        </w:r>
      </w:hyperlink>
    </w:p>
    <w:p w14:paraId="7F4C2017" w14:textId="0528838F" w:rsidR="00125141" w:rsidRPr="00511D2D" w:rsidRDefault="00125141" w:rsidP="00511D2D">
      <w:pPr>
        <w:spacing w:line="360" w:lineRule="auto"/>
        <w:ind w:left="567" w:hanging="567"/>
        <w:rPr>
          <w:rFonts w:ascii="Times New Roman" w:hAnsi="Times New Roman"/>
        </w:rPr>
      </w:pPr>
      <w:r w:rsidRPr="00125141">
        <w:rPr>
          <w:rFonts w:ascii="Times New Roman" w:hAnsi="Times New Roman"/>
        </w:rPr>
        <w:lastRenderedPageBreak/>
        <w:t xml:space="preserve">Schroeder, D. A., Jensen, T. D., Reed, A. J., Sullivan, D. K., Schwab, M. (1983). The actions of others as determinants of behavior in social dilemmas. </w:t>
      </w:r>
      <w:r w:rsidRPr="00511D2D">
        <w:rPr>
          <w:rFonts w:ascii="Times New Roman" w:hAnsi="Times New Roman"/>
          <w:i/>
          <w:iCs/>
        </w:rPr>
        <w:t>Journal of Experimental Social Psychology, 19</w:t>
      </w:r>
      <w:r w:rsidRPr="00125141">
        <w:rPr>
          <w:rFonts w:ascii="Times New Roman" w:hAnsi="Times New Roman"/>
        </w:rPr>
        <w:t>, 522–539.</w:t>
      </w:r>
    </w:p>
    <w:p w14:paraId="32AC94F0" w14:textId="77777777" w:rsidR="0095333C" w:rsidRPr="00511D2D" w:rsidRDefault="0095333C" w:rsidP="00511D2D">
      <w:pPr>
        <w:spacing w:line="360" w:lineRule="auto"/>
        <w:ind w:left="567" w:hanging="567"/>
        <w:rPr>
          <w:rFonts w:ascii="Times New Roman" w:hAnsi="Times New Roman"/>
        </w:rPr>
      </w:pPr>
      <w:proofErr w:type="spellStart"/>
      <w:r w:rsidRPr="00511D2D">
        <w:rPr>
          <w:rFonts w:ascii="Times New Roman" w:hAnsi="Times New Roman"/>
        </w:rPr>
        <w:t>Slovic</w:t>
      </w:r>
      <w:proofErr w:type="spellEnd"/>
      <w:r w:rsidRPr="00511D2D">
        <w:rPr>
          <w:rFonts w:ascii="Times New Roman" w:hAnsi="Times New Roman"/>
        </w:rPr>
        <w:t xml:space="preserve">, P., Fischhoff, B., &amp; Lichtenstein, S. (1978). Accident probabilities and seat belt usage: A psychological perspective. </w:t>
      </w:r>
      <w:r w:rsidRPr="00511D2D">
        <w:rPr>
          <w:rFonts w:ascii="Times New Roman" w:hAnsi="Times New Roman"/>
          <w:i/>
          <w:iCs/>
        </w:rPr>
        <w:t>Accident Analysis &amp; Prevention, 10(4)</w:t>
      </w:r>
      <w:r w:rsidRPr="00511D2D">
        <w:rPr>
          <w:rFonts w:ascii="Times New Roman" w:hAnsi="Times New Roman"/>
        </w:rPr>
        <w:t>, 281–285.</w:t>
      </w:r>
    </w:p>
    <w:p w14:paraId="21DA939B" w14:textId="0394A3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Soll, J. B., Milkman, K. L., &amp; Payne, J. W. (201</w:t>
      </w:r>
      <w:r w:rsidR="00EE2E82">
        <w:rPr>
          <w:rFonts w:ascii="Times New Roman" w:hAnsi="Times New Roman"/>
        </w:rPr>
        <w:t>5</w:t>
      </w:r>
      <w:r w:rsidRPr="00511D2D">
        <w:rPr>
          <w:rFonts w:ascii="Times New Roman" w:hAnsi="Times New Roman"/>
        </w:rPr>
        <w:t>). A user’s guide to debiasing.</w:t>
      </w:r>
      <w:r w:rsidR="004F4A56">
        <w:rPr>
          <w:rFonts w:ascii="Times New Roman" w:hAnsi="Times New Roman"/>
        </w:rPr>
        <w:t xml:space="preserve"> In </w:t>
      </w:r>
      <w:r w:rsidR="004F4A56" w:rsidRPr="00511D2D">
        <w:rPr>
          <w:rFonts w:ascii="Times New Roman" w:hAnsi="Times New Roman"/>
          <w:i/>
          <w:iCs/>
        </w:rPr>
        <w:t xml:space="preserve">The Wiley Blackwell </w:t>
      </w:r>
      <w:r w:rsidR="004F4A56">
        <w:rPr>
          <w:rFonts w:ascii="Times New Roman" w:hAnsi="Times New Roman"/>
          <w:i/>
          <w:iCs/>
        </w:rPr>
        <w:t>H</w:t>
      </w:r>
      <w:r w:rsidR="004F4A56" w:rsidRPr="00511D2D">
        <w:rPr>
          <w:rFonts w:ascii="Times New Roman" w:hAnsi="Times New Roman"/>
          <w:i/>
          <w:iCs/>
        </w:rPr>
        <w:t xml:space="preserve">andbook of </w:t>
      </w:r>
      <w:r w:rsidR="004F4A56">
        <w:rPr>
          <w:rFonts w:ascii="Times New Roman" w:hAnsi="Times New Roman"/>
          <w:i/>
          <w:iCs/>
        </w:rPr>
        <w:t>J</w:t>
      </w:r>
      <w:r w:rsidR="004F4A56" w:rsidRPr="00511D2D">
        <w:rPr>
          <w:rFonts w:ascii="Times New Roman" w:hAnsi="Times New Roman"/>
          <w:i/>
          <w:iCs/>
        </w:rPr>
        <w:t xml:space="preserve">udgment and </w:t>
      </w:r>
      <w:r w:rsidR="004F4A56">
        <w:rPr>
          <w:rFonts w:ascii="Times New Roman" w:hAnsi="Times New Roman"/>
          <w:i/>
          <w:iCs/>
        </w:rPr>
        <w:t>D</w:t>
      </w:r>
      <w:r w:rsidR="004F4A56" w:rsidRPr="00511D2D">
        <w:rPr>
          <w:rFonts w:ascii="Times New Roman" w:hAnsi="Times New Roman"/>
          <w:i/>
          <w:iCs/>
        </w:rPr>
        <w:t xml:space="preserve">ecision </w:t>
      </w:r>
      <w:r w:rsidR="004F4A56">
        <w:rPr>
          <w:rFonts w:ascii="Times New Roman" w:hAnsi="Times New Roman"/>
          <w:i/>
          <w:iCs/>
        </w:rPr>
        <w:t>M</w:t>
      </w:r>
      <w:r w:rsidR="004F4A56" w:rsidRPr="00511D2D">
        <w:rPr>
          <w:rFonts w:ascii="Times New Roman" w:hAnsi="Times New Roman"/>
          <w:i/>
          <w:iCs/>
        </w:rPr>
        <w:t>aking, 2</w:t>
      </w:r>
      <w:r w:rsidR="004F4A56" w:rsidRPr="004F4A56">
        <w:rPr>
          <w:rFonts w:ascii="Times New Roman" w:hAnsi="Times New Roman"/>
        </w:rPr>
        <w:t>, 924-951</w:t>
      </w:r>
    </w:p>
    <w:p w14:paraId="595D61AC"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Trueblood, J. S., Sussman, A. B., &amp; O’Leary, D. (2022). The role of risk preferences in responses to messaging about COVID-19 vaccine take-up. </w:t>
      </w:r>
      <w:r w:rsidRPr="00511D2D">
        <w:rPr>
          <w:rFonts w:ascii="Times New Roman" w:hAnsi="Times New Roman"/>
          <w:i/>
          <w:iCs/>
        </w:rPr>
        <w:t>Social Psychological and Personality Science, 13(1)</w:t>
      </w:r>
      <w:r w:rsidRPr="00511D2D">
        <w:rPr>
          <w:rFonts w:ascii="Times New Roman" w:hAnsi="Times New Roman"/>
        </w:rPr>
        <w:t>, 311–319.</w:t>
      </w:r>
    </w:p>
    <w:p w14:paraId="6E78DE72" w14:textId="4BABA67C"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van Dijk, E., De Cremer, D., Mulder, L. B., &amp; Stouten, J. (2008). How do we react to feedback in social </w:t>
      </w:r>
      <w:proofErr w:type="gramStart"/>
      <w:r w:rsidRPr="00511D2D">
        <w:rPr>
          <w:rFonts w:ascii="Times New Roman" w:hAnsi="Times New Roman"/>
        </w:rPr>
        <w:t>dilemmas?.</w:t>
      </w:r>
      <w:proofErr w:type="gramEnd"/>
      <w:r w:rsidRPr="00511D2D">
        <w:rPr>
          <w:rFonts w:ascii="Times New Roman" w:hAnsi="Times New Roman"/>
        </w:rPr>
        <w:t xml:space="preserve"> </w:t>
      </w:r>
      <w:r w:rsidR="00343DCF">
        <w:rPr>
          <w:rFonts w:ascii="Times New Roman" w:hAnsi="Times New Roman"/>
        </w:rPr>
        <w:t xml:space="preserve">In </w:t>
      </w:r>
      <w:r w:rsidRPr="00511D2D">
        <w:rPr>
          <w:rFonts w:ascii="Times New Roman" w:hAnsi="Times New Roman"/>
          <w:i/>
          <w:iCs/>
        </w:rPr>
        <w:t xml:space="preserve">New </w:t>
      </w:r>
      <w:r w:rsidR="00343DCF">
        <w:rPr>
          <w:rFonts w:ascii="Times New Roman" w:hAnsi="Times New Roman"/>
          <w:i/>
          <w:iCs/>
        </w:rPr>
        <w:t>I</w:t>
      </w:r>
      <w:r w:rsidRPr="00511D2D">
        <w:rPr>
          <w:rFonts w:ascii="Times New Roman" w:hAnsi="Times New Roman"/>
          <w:i/>
          <w:iCs/>
        </w:rPr>
        <w:t xml:space="preserve">ssues and </w:t>
      </w:r>
      <w:r w:rsidR="00343DCF">
        <w:rPr>
          <w:rFonts w:ascii="Times New Roman" w:hAnsi="Times New Roman"/>
          <w:i/>
          <w:iCs/>
        </w:rPr>
        <w:t>P</w:t>
      </w:r>
      <w:r w:rsidRPr="00511D2D">
        <w:rPr>
          <w:rFonts w:ascii="Times New Roman" w:hAnsi="Times New Roman"/>
          <w:i/>
          <w:iCs/>
        </w:rPr>
        <w:t xml:space="preserve">aradigms in </w:t>
      </w:r>
      <w:r w:rsidR="00343DCF">
        <w:rPr>
          <w:rFonts w:ascii="Times New Roman" w:hAnsi="Times New Roman"/>
          <w:i/>
          <w:iCs/>
        </w:rPr>
        <w:t>R</w:t>
      </w:r>
      <w:r w:rsidRPr="00511D2D">
        <w:rPr>
          <w:rFonts w:ascii="Times New Roman" w:hAnsi="Times New Roman"/>
          <w:i/>
          <w:iCs/>
        </w:rPr>
        <w:t xml:space="preserve">esearch on </w:t>
      </w:r>
      <w:r w:rsidR="00343DCF">
        <w:rPr>
          <w:rFonts w:ascii="Times New Roman" w:hAnsi="Times New Roman"/>
          <w:i/>
          <w:iCs/>
        </w:rPr>
        <w:t>S</w:t>
      </w:r>
      <w:r w:rsidRPr="00511D2D">
        <w:rPr>
          <w:rFonts w:ascii="Times New Roman" w:hAnsi="Times New Roman"/>
          <w:i/>
          <w:iCs/>
        </w:rPr>
        <w:t xml:space="preserve">ocial </w:t>
      </w:r>
      <w:r w:rsidR="00343DCF">
        <w:rPr>
          <w:rFonts w:ascii="Times New Roman" w:hAnsi="Times New Roman"/>
          <w:i/>
          <w:iCs/>
        </w:rPr>
        <w:t>D</w:t>
      </w:r>
      <w:r w:rsidRPr="00511D2D">
        <w:rPr>
          <w:rFonts w:ascii="Times New Roman" w:hAnsi="Times New Roman"/>
          <w:i/>
          <w:iCs/>
        </w:rPr>
        <w:t>ilemmas</w:t>
      </w:r>
      <w:r w:rsidRPr="00511D2D">
        <w:rPr>
          <w:rFonts w:ascii="Times New Roman" w:hAnsi="Times New Roman"/>
        </w:rPr>
        <w:t xml:space="preserve"> </w:t>
      </w:r>
      <w:r w:rsidR="00343DCF">
        <w:rPr>
          <w:rFonts w:ascii="Times New Roman" w:hAnsi="Times New Roman"/>
        </w:rPr>
        <w:t xml:space="preserve">(pp. </w:t>
      </w:r>
      <w:r w:rsidRPr="00511D2D">
        <w:rPr>
          <w:rFonts w:ascii="Times New Roman" w:hAnsi="Times New Roman"/>
        </w:rPr>
        <w:t>43-56</w:t>
      </w:r>
      <w:r w:rsidR="00343DCF">
        <w:rPr>
          <w:rFonts w:ascii="Times New Roman" w:hAnsi="Times New Roman"/>
        </w:rPr>
        <w:t>)</w:t>
      </w:r>
      <w:r w:rsidRPr="00511D2D">
        <w:rPr>
          <w:rFonts w:ascii="Times New Roman" w:hAnsi="Times New Roman"/>
        </w:rPr>
        <w:t>.</w:t>
      </w:r>
      <w:r w:rsidR="00343DCF">
        <w:rPr>
          <w:rFonts w:ascii="Times New Roman" w:hAnsi="Times New Roman"/>
        </w:rPr>
        <w:t xml:space="preserve"> </w:t>
      </w:r>
      <w:r w:rsidR="00343DCF" w:rsidRPr="00343DCF">
        <w:rPr>
          <w:rFonts w:ascii="Times New Roman" w:hAnsi="Times New Roman"/>
        </w:rPr>
        <w:t>Boston, MA: Springer US</w:t>
      </w:r>
      <w:r w:rsidR="00343DCF">
        <w:rPr>
          <w:rFonts w:ascii="Times New Roman" w:hAnsi="Times New Roman"/>
        </w:rPr>
        <w:t xml:space="preserve">. </w:t>
      </w:r>
    </w:p>
    <w:p w14:paraId="2DFAA8E3" w14:textId="77777777"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Van Lange, P. A. M., Joireman, J., Parks, C. D., &amp; Van Dijk, E. (2013). The psychology of social dilemmas: A review. </w:t>
      </w:r>
      <w:r w:rsidRPr="00511D2D">
        <w:rPr>
          <w:rFonts w:ascii="Times New Roman" w:hAnsi="Times New Roman"/>
          <w:i/>
          <w:iCs/>
        </w:rPr>
        <w:t>Organizational Behavior and Human Decision Processes, 120(2)</w:t>
      </w:r>
      <w:r w:rsidRPr="00511D2D">
        <w:rPr>
          <w:rFonts w:ascii="Times New Roman" w:hAnsi="Times New Roman"/>
        </w:rPr>
        <w:t>, 125–141.</w:t>
      </w:r>
    </w:p>
    <w:p w14:paraId="4C900B35" w14:textId="042DCE7B" w:rsidR="0095333C" w:rsidRPr="00511D2D" w:rsidRDefault="0095333C" w:rsidP="00511D2D">
      <w:pPr>
        <w:spacing w:line="360" w:lineRule="auto"/>
        <w:ind w:left="567" w:hanging="567"/>
        <w:rPr>
          <w:rFonts w:ascii="Times New Roman" w:hAnsi="Times New Roman"/>
        </w:rPr>
      </w:pPr>
      <w:r w:rsidRPr="00511D2D">
        <w:rPr>
          <w:rFonts w:ascii="Times New Roman" w:hAnsi="Times New Roman"/>
        </w:rPr>
        <w:t xml:space="preserve">Xiao, E., &amp; </w:t>
      </w:r>
      <w:proofErr w:type="spellStart"/>
      <w:r w:rsidRPr="00511D2D">
        <w:rPr>
          <w:rFonts w:ascii="Times New Roman" w:hAnsi="Times New Roman"/>
        </w:rPr>
        <w:t>Kunreuther</w:t>
      </w:r>
      <w:proofErr w:type="spellEnd"/>
      <w:r w:rsidRPr="00511D2D">
        <w:rPr>
          <w:rFonts w:ascii="Times New Roman" w:hAnsi="Times New Roman"/>
        </w:rPr>
        <w:t xml:space="preserve">, H. (2016). Punishment and cooperation in stochastic social dilemmas. </w:t>
      </w:r>
      <w:r w:rsidRPr="00511D2D">
        <w:rPr>
          <w:rFonts w:ascii="Times New Roman" w:hAnsi="Times New Roman"/>
          <w:i/>
          <w:iCs/>
        </w:rPr>
        <w:t>Journal of Conflict Resolution, 60(4)</w:t>
      </w:r>
      <w:r w:rsidRPr="00511D2D">
        <w:rPr>
          <w:rFonts w:ascii="Times New Roman" w:hAnsi="Times New Roman"/>
        </w:rPr>
        <w:t>, 670–693.</w:t>
      </w:r>
    </w:p>
    <w:p w14:paraId="7D83F1EF" w14:textId="5B998560" w:rsidR="00567980" w:rsidRPr="002208A3" w:rsidRDefault="00567980" w:rsidP="001C1040">
      <w:pPr>
        <w:spacing w:line="480" w:lineRule="auto"/>
        <w:rPr>
          <w:rFonts w:ascii="Times New Roman" w:hAnsi="Times New Roman"/>
          <w:b/>
          <w:bCs/>
        </w:rPr>
      </w:pPr>
    </w:p>
    <w:sectPr w:rsidR="00567980" w:rsidRPr="002208A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6BE2" w14:textId="77777777" w:rsidR="00173822" w:rsidRDefault="00173822">
      <w:r>
        <w:separator/>
      </w:r>
    </w:p>
  </w:endnote>
  <w:endnote w:type="continuationSeparator" w:id="0">
    <w:p w14:paraId="60551539" w14:textId="77777777" w:rsidR="00173822" w:rsidRDefault="00173822">
      <w:r>
        <w:continuationSeparator/>
      </w:r>
    </w:p>
  </w:endnote>
  <w:endnote w:type="continuationNotice" w:id="1">
    <w:p w14:paraId="3FCAFDFA" w14:textId="77777777" w:rsidR="00173822" w:rsidRDefault="00173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71314" w14:textId="77777777" w:rsidR="00173822" w:rsidRDefault="00173822">
      <w:r>
        <w:separator/>
      </w:r>
    </w:p>
  </w:footnote>
  <w:footnote w:type="continuationSeparator" w:id="0">
    <w:p w14:paraId="5F9575FF" w14:textId="77777777" w:rsidR="00173822" w:rsidRDefault="00173822">
      <w:r>
        <w:continuationSeparator/>
      </w:r>
    </w:p>
  </w:footnote>
  <w:footnote w:type="continuationNotice" w:id="1">
    <w:p w14:paraId="3F612B85" w14:textId="77777777" w:rsidR="00173822" w:rsidRDefault="001738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D1D6C"/>
    <w:multiLevelType w:val="hybridMultilevel"/>
    <w:tmpl w:val="F91C5404"/>
    <w:lvl w:ilvl="0" w:tplc="C8D0687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81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I2NzI2NLI0NzG1sDBW0lEKTi0uzszPAykwNKgFAJ8cfHot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712250"/>
    <w:rsid w:val="00005AF9"/>
    <w:rsid w:val="00006E5F"/>
    <w:rsid w:val="000075CB"/>
    <w:rsid w:val="00007FBE"/>
    <w:rsid w:val="0001085C"/>
    <w:rsid w:val="00010E4A"/>
    <w:rsid w:val="00011473"/>
    <w:rsid w:val="00011644"/>
    <w:rsid w:val="00011B5E"/>
    <w:rsid w:val="000149D0"/>
    <w:rsid w:val="00014B55"/>
    <w:rsid w:val="000155F8"/>
    <w:rsid w:val="0001631A"/>
    <w:rsid w:val="00016F7F"/>
    <w:rsid w:val="00020F5D"/>
    <w:rsid w:val="00021B32"/>
    <w:rsid w:val="00021C27"/>
    <w:rsid w:val="00022781"/>
    <w:rsid w:val="00022A70"/>
    <w:rsid w:val="00024B47"/>
    <w:rsid w:val="00025899"/>
    <w:rsid w:val="00027ECB"/>
    <w:rsid w:val="000301C0"/>
    <w:rsid w:val="00030E08"/>
    <w:rsid w:val="00031A04"/>
    <w:rsid w:val="0003239A"/>
    <w:rsid w:val="000339BF"/>
    <w:rsid w:val="00034769"/>
    <w:rsid w:val="00035029"/>
    <w:rsid w:val="000359DF"/>
    <w:rsid w:val="00036499"/>
    <w:rsid w:val="00037A52"/>
    <w:rsid w:val="00040B89"/>
    <w:rsid w:val="00041681"/>
    <w:rsid w:val="000423D4"/>
    <w:rsid w:val="00043DD6"/>
    <w:rsid w:val="00045078"/>
    <w:rsid w:val="00045104"/>
    <w:rsid w:val="00046DD9"/>
    <w:rsid w:val="00046EE0"/>
    <w:rsid w:val="00047C45"/>
    <w:rsid w:val="00047FAB"/>
    <w:rsid w:val="00050157"/>
    <w:rsid w:val="00050BDA"/>
    <w:rsid w:val="00055895"/>
    <w:rsid w:val="00057C68"/>
    <w:rsid w:val="00061D26"/>
    <w:rsid w:val="000701A5"/>
    <w:rsid w:val="0007049F"/>
    <w:rsid w:val="000717B7"/>
    <w:rsid w:val="00071A24"/>
    <w:rsid w:val="00071CE9"/>
    <w:rsid w:val="00072349"/>
    <w:rsid w:val="0007326B"/>
    <w:rsid w:val="0007408C"/>
    <w:rsid w:val="0007416B"/>
    <w:rsid w:val="0007447C"/>
    <w:rsid w:val="000756F0"/>
    <w:rsid w:val="00077E6A"/>
    <w:rsid w:val="000800FE"/>
    <w:rsid w:val="00080135"/>
    <w:rsid w:val="0008073E"/>
    <w:rsid w:val="00083798"/>
    <w:rsid w:val="000843AF"/>
    <w:rsid w:val="000866F0"/>
    <w:rsid w:val="00086FBB"/>
    <w:rsid w:val="000879F3"/>
    <w:rsid w:val="00090227"/>
    <w:rsid w:val="00090E55"/>
    <w:rsid w:val="00091877"/>
    <w:rsid w:val="00092217"/>
    <w:rsid w:val="00092678"/>
    <w:rsid w:val="000927F8"/>
    <w:rsid w:val="00092B08"/>
    <w:rsid w:val="000964E9"/>
    <w:rsid w:val="000A0FC8"/>
    <w:rsid w:val="000A655C"/>
    <w:rsid w:val="000B0AC0"/>
    <w:rsid w:val="000B3819"/>
    <w:rsid w:val="000C0B7E"/>
    <w:rsid w:val="000C1420"/>
    <w:rsid w:val="000C16B5"/>
    <w:rsid w:val="000C451A"/>
    <w:rsid w:val="000C4E7C"/>
    <w:rsid w:val="000C5D4F"/>
    <w:rsid w:val="000C6EF7"/>
    <w:rsid w:val="000C7390"/>
    <w:rsid w:val="000D0F43"/>
    <w:rsid w:val="000D11EA"/>
    <w:rsid w:val="000D26FF"/>
    <w:rsid w:val="000D2FA5"/>
    <w:rsid w:val="000D336E"/>
    <w:rsid w:val="000D49AD"/>
    <w:rsid w:val="000D73DC"/>
    <w:rsid w:val="000E04DC"/>
    <w:rsid w:val="000E0A22"/>
    <w:rsid w:val="000E2BFE"/>
    <w:rsid w:val="000E2C7E"/>
    <w:rsid w:val="000E38BB"/>
    <w:rsid w:val="000E48C6"/>
    <w:rsid w:val="000E4E1B"/>
    <w:rsid w:val="000E5005"/>
    <w:rsid w:val="000E5CC3"/>
    <w:rsid w:val="000E69B8"/>
    <w:rsid w:val="000F0ABB"/>
    <w:rsid w:val="000F0FFE"/>
    <w:rsid w:val="000F16A0"/>
    <w:rsid w:val="000F1B31"/>
    <w:rsid w:val="000F25E0"/>
    <w:rsid w:val="000F4449"/>
    <w:rsid w:val="000F516C"/>
    <w:rsid w:val="000F628A"/>
    <w:rsid w:val="000F62DE"/>
    <w:rsid w:val="000F6346"/>
    <w:rsid w:val="000F7C19"/>
    <w:rsid w:val="000F7E36"/>
    <w:rsid w:val="001011E2"/>
    <w:rsid w:val="00102D77"/>
    <w:rsid w:val="001058AD"/>
    <w:rsid w:val="00106DCF"/>
    <w:rsid w:val="00107127"/>
    <w:rsid w:val="00111E10"/>
    <w:rsid w:val="00112DCF"/>
    <w:rsid w:val="00113FCE"/>
    <w:rsid w:val="00114D64"/>
    <w:rsid w:val="00115BCC"/>
    <w:rsid w:val="00115C1D"/>
    <w:rsid w:val="001204E8"/>
    <w:rsid w:val="00122FC0"/>
    <w:rsid w:val="00123F74"/>
    <w:rsid w:val="00124711"/>
    <w:rsid w:val="00124884"/>
    <w:rsid w:val="00124B45"/>
    <w:rsid w:val="00125141"/>
    <w:rsid w:val="00125372"/>
    <w:rsid w:val="00131257"/>
    <w:rsid w:val="00131589"/>
    <w:rsid w:val="001317C1"/>
    <w:rsid w:val="00132971"/>
    <w:rsid w:val="001340F8"/>
    <w:rsid w:val="0013426A"/>
    <w:rsid w:val="00135D76"/>
    <w:rsid w:val="001364A6"/>
    <w:rsid w:val="00136D1D"/>
    <w:rsid w:val="00137459"/>
    <w:rsid w:val="00137E6F"/>
    <w:rsid w:val="00137FA5"/>
    <w:rsid w:val="00140A45"/>
    <w:rsid w:val="00140CD3"/>
    <w:rsid w:val="00141A5B"/>
    <w:rsid w:val="00141F58"/>
    <w:rsid w:val="001461C9"/>
    <w:rsid w:val="00146AE0"/>
    <w:rsid w:val="00150280"/>
    <w:rsid w:val="00150ED5"/>
    <w:rsid w:val="0015155A"/>
    <w:rsid w:val="001538C6"/>
    <w:rsid w:val="00154C82"/>
    <w:rsid w:val="001555FA"/>
    <w:rsid w:val="00155FDF"/>
    <w:rsid w:val="001560E9"/>
    <w:rsid w:val="0015684D"/>
    <w:rsid w:val="001579D3"/>
    <w:rsid w:val="00160321"/>
    <w:rsid w:val="00160350"/>
    <w:rsid w:val="00161896"/>
    <w:rsid w:val="0016253B"/>
    <w:rsid w:val="00163890"/>
    <w:rsid w:val="00163DDB"/>
    <w:rsid w:val="00171A73"/>
    <w:rsid w:val="00171FBE"/>
    <w:rsid w:val="00172671"/>
    <w:rsid w:val="00173822"/>
    <w:rsid w:val="00173C6B"/>
    <w:rsid w:val="001760E9"/>
    <w:rsid w:val="00176C39"/>
    <w:rsid w:val="00176CE1"/>
    <w:rsid w:val="00180E21"/>
    <w:rsid w:val="00181297"/>
    <w:rsid w:val="00181F11"/>
    <w:rsid w:val="00186902"/>
    <w:rsid w:val="00190A67"/>
    <w:rsid w:val="00191EE5"/>
    <w:rsid w:val="00191F1F"/>
    <w:rsid w:val="0019332A"/>
    <w:rsid w:val="0019410E"/>
    <w:rsid w:val="001953DC"/>
    <w:rsid w:val="00196734"/>
    <w:rsid w:val="001969E9"/>
    <w:rsid w:val="001A2EA8"/>
    <w:rsid w:val="001A37B2"/>
    <w:rsid w:val="001A3EA0"/>
    <w:rsid w:val="001A44EF"/>
    <w:rsid w:val="001A4671"/>
    <w:rsid w:val="001A4965"/>
    <w:rsid w:val="001A50FE"/>
    <w:rsid w:val="001A6591"/>
    <w:rsid w:val="001B0BD2"/>
    <w:rsid w:val="001B2FB6"/>
    <w:rsid w:val="001B40EF"/>
    <w:rsid w:val="001B4EA1"/>
    <w:rsid w:val="001B5D45"/>
    <w:rsid w:val="001B5EC3"/>
    <w:rsid w:val="001B6370"/>
    <w:rsid w:val="001B67A6"/>
    <w:rsid w:val="001B7934"/>
    <w:rsid w:val="001B7CC0"/>
    <w:rsid w:val="001C0079"/>
    <w:rsid w:val="001C0123"/>
    <w:rsid w:val="001C040D"/>
    <w:rsid w:val="001C0716"/>
    <w:rsid w:val="001C0E20"/>
    <w:rsid w:val="001C1040"/>
    <w:rsid w:val="001C1B01"/>
    <w:rsid w:val="001C2D53"/>
    <w:rsid w:val="001C4212"/>
    <w:rsid w:val="001C4FCC"/>
    <w:rsid w:val="001D1EFA"/>
    <w:rsid w:val="001D2B7B"/>
    <w:rsid w:val="001D4643"/>
    <w:rsid w:val="001D6C24"/>
    <w:rsid w:val="001E0161"/>
    <w:rsid w:val="001E045B"/>
    <w:rsid w:val="001E0F6C"/>
    <w:rsid w:val="001E2F3E"/>
    <w:rsid w:val="001E3C83"/>
    <w:rsid w:val="001E3CEC"/>
    <w:rsid w:val="001E5FA3"/>
    <w:rsid w:val="001E6C98"/>
    <w:rsid w:val="001F0BFD"/>
    <w:rsid w:val="001F41BC"/>
    <w:rsid w:val="001F4978"/>
    <w:rsid w:val="001F503D"/>
    <w:rsid w:val="001F5392"/>
    <w:rsid w:val="001F58C4"/>
    <w:rsid w:val="001F6726"/>
    <w:rsid w:val="001F6D1C"/>
    <w:rsid w:val="00202A1D"/>
    <w:rsid w:val="00202EFA"/>
    <w:rsid w:val="00207723"/>
    <w:rsid w:val="00207C18"/>
    <w:rsid w:val="00210B85"/>
    <w:rsid w:val="002112B6"/>
    <w:rsid w:val="0021345E"/>
    <w:rsid w:val="002139B5"/>
    <w:rsid w:val="00213E7B"/>
    <w:rsid w:val="00213EDE"/>
    <w:rsid w:val="00215E48"/>
    <w:rsid w:val="00216228"/>
    <w:rsid w:val="002163E6"/>
    <w:rsid w:val="002208A3"/>
    <w:rsid w:val="00220F32"/>
    <w:rsid w:val="002230B8"/>
    <w:rsid w:val="00224461"/>
    <w:rsid w:val="0022450D"/>
    <w:rsid w:val="00225C7C"/>
    <w:rsid w:val="00227398"/>
    <w:rsid w:val="00227BB9"/>
    <w:rsid w:val="00227DAA"/>
    <w:rsid w:val="00227E10"/>
    <w:rsid w:val="00230D3C"/>
    <w:rsid w:val="002315CA"/>
    <w:rsid w:val="002327F1"/>
    <w:rsid w:val="00232CBC"/>
    <w:rsid w:val="00236154"/>
    <w:rsid w:val="00236B37"/>
    <w:rsid w:val="002374F9"/>
    <w:rsid w:val="00237FF4"/>
    <w:rsid w:val="00241477"/>
    <w:rsid w:val="002418EF"/>
    <w:rsid w:val="002445ED"/>
    <w:rsid w:val="00245111"/>
    <w:rsid w:val="00245937"/>
    <w:rsid w:val="0025035C"/>
    <w:rsid w:val="002507FE"/>
    <w:rsid w:val="00252A63"/>
    <w:rsid w:val="00252D43"/>
    <w:rsid w:val="0026241E"/>
    <w:rsid w:val="00262851"/>
    <w:rsid w:val="00264F45"/>
    <w:rsid w:val="00265688"/>
    <w:rsid w:val="00265BFB"/>
    <w:rsid w:val="00270254"/>
    <w:rsid w:val="0027088A"/>
    <w:rsid w:val="002710CD"/>
    <w:rsid w:val="0027155C"/>
    <w:rsid w:val="00273139"/>
    <w:rsid w:val="00274FE9"/>
    <w:rsid w:val="002759A7"/>
    <w:rsid w:val="0027608A"/>
    <w:rsid w:val="002815B1"/>
    <w:rsid w:val="00281F18"/>
    <w:rsid w:val="00282B16"/>
    <w:rsid w:val="002843BD"/>
    <w:rsid w:val="00284429"/>
    <w:rsid w:val="00285BDA"/>
    <w:rsid w:val="00291EFC"/>
    <w:rsid w:val="00292DF9"/>
    <w:rsid w:val="00294B82"/>
    <w:rsid w:val="002953FB"/>
    <w:rsid w:val="0029627C"/>
    <w:rsid w:val="00296B08"/>
    <w:rsid w:val="0029786B"/>
    <w:rsid w:val="00297EDE"/>
    <w:rsid w:val="002A2B14"/>
    <w:rsid w:val="002A46E0"/>
    <w:rsid w:val="002A4FB1"/>
    <w:rsid w:val="002A6F25"/>
    <w:rsid w:val="002B093B"/>
    <w:rsid w:val="002B2D2E"/>
    <w:rsid w:val="002B5ADD"/>
    <w:rsid w:val="002B61C4"/>
    <w:rsid w:val="002B6301"/>
    <w:rsid w:val="002C0793"/>
    <w:rsid w:val="002C0F07"/>
    <w:rsid w:val="002C2DB4"/>
    <w:rsid w:val="002C33E3"/>
    <w:rsid w:val="002C357F"/>
    <w:rsid w:val="002C3EA1"/>
    <w:rsid w:val="002C3FCD"/>
    <w:rsid w:val="002C4A73"/>
    <w:rsid w:val="002D1E56"/>
    <w:rsid w:val="002D2146"/>
    <w:rsid w:val="002D2AC3"/>
    <w:rsid w:val="002D328B"/>
    <w:rsid w:val="002D344D"/>
    <w:rsid w:val="002D5B47"/>
    <w:rsid w:val="002D5C37"/>
    <w:rsid w:val="002D7B68"/>
    <w:rsid w:val="002D7E8F"/>
    <w:rsid w:val="002E2D85"/>
    <w:rsid w:val="002E5717"/>
    <w:rsid w:val="002F0E45"/>
    <w:rsid w:val="002F1CEC"/>
    <w:rsid w:val="002F6387"/>
    <w:rsid w:val="002F789C"/>
    <w:rsid w:val="00301DC9"/>
    <w:rsid w:val="003020DB"/>
    <w:rsid w:val="003024D1"/>
    <w:rsid w:val="0030301B"/>
    <w:rsid w:val="0030469E"/>
    <w:rsid w:val="003056D1"/>
    <w:rsid w:val="003060C2"/>
    <w:rsid w:val="00306EC1"/>
    <w:rsid w:val="003115FE"/>
    <w:rsid w:val="003118A5"/>
    <w:rsid w:val="00312638"/>
    <w:rsid w:val="00312AC4"/>
    <w:rsid w:val="00313238"/>
    <w:rsid w:val="00313B17"/>
    <w:rsid w:val="00313C87"/>
    <w:rsid w:val="003151B6"/>
    <w:rsid w:val="003153A2"/>
    <w:rsid w:val="003154B8"/>
    <w:rsid w:val="003208C2"/>
    <w:rsid w:val="003212A4"/>
    <w:rsid w:val="00321F97"/>
    <w:rsid w:val="003234D8"/>
    <w:rsid w:val="00323557"/>
    <w:rsid w:val="00324031"/>
    <w:rsid w:val="00325AD4"/>
    <w:rsid w:val="00326570"/>
    <w:rsid w:val="003266B9"/>
    <w:rsid w:val="0032728A"/>
    <w:rsid w:val="00331202"/>
    <w:rsid w:val="00331982"/>
    <w:rsid w:val="003320DB"/>
    <w:rsid w:val="0033291A"/>
    <w:rsid w:val="003349E8"/>
    <w:rsid w:val="00336029"/>
    <w:rsid w:val="00336765"/>
    <w:rsid w:val="00337283"/>
    <w:rsid w:val="00343594"/>
    <w:rsid w:val="00343DCF"/>
    <w:rsid w:val="003449B1"/>
    <w:rsid w:val="0034546E"/>
    <w:rsid w:val="00346AD8"/>
    <w:rsid w:val="00346B99"/>
    <w:rsid w:val="00346DC2"/>
    <w:rsid w:val="0034762B"/>
    <w:rsid w:val="00351B05"/>
    <w:rsid w:val="00352BE8"/>
    <w:rsid w:val="003544E2"/>
    <w:rsid w:val="003602F9"/>
    <w:rsid w:val="00362105"/>
    <w:rsid w:val="00365718"/>
    <w:rsid w:val="00366805"/>
    <w:rsid w:val="00367CD6"/>
    <w:rsid w:val="00371E30"/>
    <w:rsid w:val="003742F4"/>
    <w:rsid w:val="003744AB"/>
    <w:rsid w:val="003801FB"/>
    <w:rsid w:val="00380204"/>
    <w:rsid w:val="00380DB9"/>
    <w:rsid w:val="003815EB"/>
    <w:rsid w:val="00385DAB"/>
    <w:rsid w:val="00386548"/>
    <w:rsid w:val="00386A8C"/>
    <w:rsid w:val="0039468E"/>
    <w:rsid w:val="00394E6A"/>
    <w:rsid w:val="00395366"/>
    <w:rsid w:val="00395D8E"/>
    <w:rsid w:val="00395EDB"/>
    <w:rsid w:val="00395FC3"/>
    <w:rsid w:val="00396E3B"/>
    <w:rsid w:val="0039799E"/>
    <w:rsid w:val="003A5807"/>
    <w:rsid w:val="003A6147"/>
    <w:rsid w:val="003A75A2"/>
    <w:rsid w:val="003A75EB"/>
    <w:rsid w:val="003B0DB5"/>
    <w:rsid w:val="003B1ED2"/>
    <w:rsid w:val="003B3B8F"/>
    <w:rsid w:val="003B5324"/>
    <w:rsid w:val="003B5365"/>
    <w:rsid w:val="003B5596"/>
    <w:rsid w:val="003B63E6"/>
    <w:rsid w:val="003B7807"/>
    <w:rsid w:val="003B7E64"/>
    <w:rsid w:val="003C0514"/>
    <w:rsid w:val="003C05EA"/>
    <w:rsid w:val="003C1AEA"/>
    <w:rsid w:val="003C3FBD"/>
    <w:rsid w:val="003D000E"/>
    <w:rsid w:val="003D0781"/>
    <w:rsid w:val="003D187A"/>
    <w:rsid w:val="003D1C94"/>
    <w:rsid w:val="003D27D9"/>
    <w:rsid w:val="003D399E"/>
    <w:rsid w:val="003D72D9"/>
    <w:rsid w:val="003D7475"/>
    <w:rsid w:val="003D7B9B"/>
    <w:rsid w:val="003E0DBF"/>
    <w:rsid w:val="003E1519"/>
    <w:rsid w:val="003E1DB5"/>
    <w:rsid w:val="003E3E09"/>
    <w:rsid w:val="003E4BC6"/>
    <w:rsid w:val="003E572D"/>
    <w:rsid w:val="003E6000"/>
    <w:rsid w:val="003E6486"/>
    <w:rsid w:val="003F16C7"/>
    <w:rsid w:val="003F1712"/>
    <w:rsid w:val="003F19EA"/>
    <w:rsid w:val="003F1A26"/>
    <w:rsid w:val="003F239F"/>
    <w:rsid w:val="003F3B18"/>
    <w:rsid w:val="003F3B59"/>
    <w:rsid w:val="003F3EFD"/>
    <w:rsid w:val="003F684B"/>
    <w:rsid w:val="003F6A12"/>
    <w:rsid w:val="003F71FF"/>
    <w:rsid w:val="003F7202"/>
    <w:rsid w:val="003F7582"/>
    <w:rsid w:val="003F7B8D"/>
    <w:rsid w:val="00400ED7"/>
    <w:rsid w:val="00401531"/>
    <w:rsid w:val="00401D4E"/>
    <w:rsid w:val="004036FE"/>
    <w:rsid w:val="0040491D"/>
    <w:rsid w:val="00404EF8"/>
    <w:rsid w:val="0041024F"/>
    <w:rsid w:val="00411148"/>
    <w:rsid w:val="00413BC5"/>
    <w:rsid w:val="0041408F"/>
    <w:rsid w:val="00417CAC"/>
    <w:rsid w:val="00421CE4"/>
    <w:rsid w:val="00422E87"/>
    <w:rsid w:val="00422EB7"/>
    <w:rsid w:val="00423B1F"/>
    <w:rsid w:val="00425876"/>
    <w:rsid w:val="00427E80"/>
    <w:rsid w:val="0043147A"/>
    <w:rsid w:val="00432151"/>
    <w:rsid w:val="00433D6E"/>
    <w:rsid w:val="00434AEA"/>
    <w:rsid w:val="0043511A"/>
    <w:rsid w:val="00435D39"/>
    <w:rsid w:val="00437A4B"/>
    <w:rsid w:val="00440A0A"/>
    <w:rsid w:val="00441397"/>
    <w:rsid w:val="004464D4"/>
    <w:rsid w:val="00446FD9"/>
    <w:rsid w:val="0044722B"/>
    <w:rsid w:val="00450A4F"/>
    <w:rsid w:val="00450D21"/>
    <w:rsid w:val="004520EE"/>
    <w:rsid w:val="00452347"/>
    <w:rsid w:val="00453861"/>
    <w:rsid w:val="004540B8"/>
    <w:rsid w:val="00456698"/>
    <w:rsid w:val="004571F4"/>
    <w:rsid w:val="004573FA"/>
    <w:rsid w:val="004618C8"/>
    <w:rsid w:val="004632DE"/>
    <w:rsid w:val="004653B1"/>
    <w:rsid w:val="0046570E"/>
    <w:rsid w:val="00465BF7"/>
    <w:rsid w:val="00467332"/>
    <w:rsid w:val="00467C80"/>
    <w:rsid w:val="00467DC1"/>
    <w:rsid w:val="00472C2B"/>
    <w:rsid w:val="00477A68"/>
    <w:rsid w:val="004814F1"/>
    <w:rsid w:val="00483AF9"/>
    <w:rsid w:val="004842AB"/>
    <w:rsid w:val="0048441D"/>
    <w:rsid w:val="00484F00"/>
    <w:rsid w:val="004872AE"/>
    <w:rsid w:val="0049215C"/>
    <w:rsid w:val="00492BA9"/>
    <w:rsid w:val="0049400A"/>
    <w:rsid w:val="004945DB"/>
    <w:rsid w:val="004962E3"/>
    <w:rsid w:val="00496AFD"/>
    <w:rsid w:val="00496CF4"/>
    <w:rsid w:val="004A1560"/>
    <w:rsid w:val="004A1595"/>
    <w:rsid w:val="004A2163"/>
    <w:rsid w:val="004A3E1E"/>
    <w:rsid w:val="004A4C4D"/>
    <w:rsid w:val="004A69AA"/>
    <w:rsid w:val="004A6A29"/>
    <w:rsid w:val="004A795A"/>
    <w:rsid w:val="004A7EC5"/>
    <w:rsid w:val="004B0E3A"/>
    <w:rsid w:val="004B562C"/>
    <w:rsid w:val="004B6A52"/>
    <w:rsid w:val="004B6B29"/>
    <w:rsid w:val="004C00A5"/>
    <w:rsid w:val="004C059A"/>
    <w:rsid w:val="004C0A26"/>
    <w:rsid w:val="004C0EEF"/>
    <w:rsid w:val="004C1129"/>
    <w:rsid w:val="004C2EAC"/>
    <w:rsid w:val="004C39F3"/>
    <w:rsid w:val="004C4E0F"/>
    <w:rsid w:val="004C59CF"/>
    <w:rsid w:val="004C6155"/>
    <w:rsid w:val="004D0A82"/>
    <w:rsid w:val="004D0C86"/>
    <w:rsid w:val="004D5CFE"/>
    <w:rsid w:val="004D6DBE"/>
    <w:rsid w:val="004E2A2E"/>
    <w:rsid w:val="004E2E9D"/>
    <w:rsid w:val="004E450A"/>
    <w:rsid w:val="004E58E6"/>
    <w:rsid w:val="004E6637"/>
    <w:rsid w:val="004E6B49"/>
    <w:rsid w:val="004F0BC6"/>
    <w:rsid w:val="004F153F"/>
    <w:rsid w:val="004F2C9C"/>
    <w:rsid w:val="004F47B9"/>
    <w:rsid w:val="004F4A56"/>
    <w:rsid w:val="004F6E33"/>
    <w:rsid w:val="004F76F9"/>
    <w:rsid w:val="004F7829"/>
    <w:rsid w:val="005014DB"/>
    <w:rsid w:val="00502337"/>
    <w:rsid w:val="005038BE"/>
    <w:rsid w:val="005048A4"/>
    <w:rsid w:val="00504C77"/>
    <w:rsid w:val="00506147"/>
    <w:rsid w:val="00506824"/>
    <w:rsid w:val="00506825"/>
    <w:rsid w:val="00506B24"/>
    <w:rsid w:val="00507556"/>
    <w:rsid w:val="00507F98"/>
    <w:rsid w:val="005102EF"/>
    <w:rsid w:val="00510B3D"/>
    <w:rsid w:val="00510CF8"/>
    <w:rsid w:val="00511A0D"/>
    <w:rsid w:val="00511D2D"/>
    <w:rsid w:val="0051283D"/>
    <w:rsid w:val="005141F1"/>
    <w:rsid w:val="0051471F"/>
    <w:rsid w:val="005227C7"/>
    <w:rsid w:val="00524A9B"/>
    <w:rsid w:val="00524ED4"/>
    <w:rsid w:val="00525913"/>
    <w:rsid w:val="0052598E"/>
    <w:rsid w:val="00527EBD"/>
    <w:rsid w:val="005334EE"/>
    <w:rsid w:val="005350B1"/>
    <w:rsid w:val="0053770D"/>
    <w:rsid w:val="00541F40"/>
    <w:rsid w:val="00542472"/>
    <w:rsid w:val="005425DD"/>
    <w:rsid w:val="00547B20"/>
    <w:rsid w:val="00551963"/>
    <w:rsid w:val="0055215B"/>
    <w:rsid w:val="005522A5"/>
    <w:rsid w:val="00553916"/>
    <w:rsid w:val="00554D10"/>
    <w:rsid w:val="00555CB2"/>
    <w:rsid w:val="005619D8"/>
    <w:rsid w:val="00564DCB"/>
    <w:rsid w:val="00565084"/>
    <w:rsid w:val="005657BD"/>
    <w:rsid w:val="00566C8E"/>
    <w:rsid w:val="00567980"/>
    <w:rsid w:val="00573F51"/>
    <w:rsid w:val="00577A72"/>
    <w:rsid w:val="00577EEE"/>
    <w:rsid w:val="00581CC0"/>
    <w:rsid w:val="00581EA7"/>
    <w:rsid w:val="00581FD3"/>
    <w:rsid w:val="00583914"/>
    <w:rsid w:val="00585296"/>
    <w:rsid w:val="00585BC1"/>
    <w:rsid w:val="0058607D"/>
    <w:rsid w:val="0058699E"/>
    <w:rsid w:val="00586D77"/>
    <w:rsid w:val="00587208"/>
    <w:rsid w:val="005900F0"/>
    <w:rsid w:val="00590BC5"/>
    <w:rsid w:val="00591547"/>
    <w:rsid w:val="00591EB9"/>
    <w:rsid w:val="00592732"/>
    <w:rsid w:val="0059487C"/>
    <w:rsid w:val="00595AFC"/>
    <w:rsid w:val="00597239"/>
    <w:rsid w:val="0059734B"/>
    <w:rsid w:val="005A02FE"/>
    <w:rsid w:val="005A2798"/>
    <w:rsid w:val="005A36C3"/>
    <w:rsid w:val="005A3B5D"/>
    <w:rsid w:val="005A58C9"/>
    <w:rsid w:val="005A5C78"/>
    <w:rsid w:val="005A5E77"/>
    <w:rsid w:val="005B0094"/>
    <w:rsid w:val="005B10DD"/>
    <w:rsid w:val="005B1581"/>
    <w:rsid w:val="005B1C17"/>
    <w:rsid w:val="005B271E"/>
    <w:rsid w:val="005B3458"/>
    <w:rsid w:val="005B3A8A"/>
    <w:rsid w:val="005B3D86"/>
    <w:rsid w:val="005B46CF"/>
    <w:rsid w:val="005B4ABB"/>
    <w:rsid w:val="005B5C7B"/>
    <w:rsid w:val="005B5EE3"/>
    <w:rsid w:val="005B5FB1"/>
    <w:rsid w:val="005B638C"/>
    <w:rsid w:val="005B6C1C"/>
    <w:rsid w:val="005B76B9"/>
    <w:rsid w:val="005C3C2F"/>
    <w:rsid w:val="005D0D1B"/>
    <w:rsid w:val="005D38C1"/>
    <w:rsid w:val="005D3AFD"/>
    <w:rsid w:val="005D4809"/>
    <w:rsid w:val="005D48B1"/>
    <w:rsid w:val="005D6036"/>
    <w:rsid w:val="005D6060"/>
    <w:rsid w:val="005D71F4"/>
    <w:rsid w:val="005D7E6D"/>
    <w:rsid w:val="005E381F"/>
    <w:rsid w:val="005E43A5"/>
    <w:rsid w:val="005E5761"/>
    <w:rsid w:val="005E73F6"/>
    <w:rsid w:val="005F2B15"/>
    <w:rsid w:val="005F2D73"/>
    <w:rsid w:val="005F30B1"/>
    <w:rsid w:val="005F3E90"/>
    <w:rsid w:val="005F544A"/>
    <w:rsid w:val="005F6785"/>
    <w:rsid w:val="005F6CBB"/>
    <w:rsid w:val="005F7046"/>
    <w:rsid w:val="005F7764"/>
    <w:rsid w:val="00602F1E"/>
    <w:rsid w:val="006036C9"/>
    <w:rsid w:val="00603CA7"/>
    <w:rsid w:val="00607915"/>
    <w:rsid w:val="00610731"/>
    <w:rsid w:val="006116CB"/>
    <w:rsid w:val="00613437"/>
    <w:rsid w:val="006140B6"/>
    <w:rsid w:val="00614CF1"/>
    <w:rsid w:val="0061575F"/>
    <w:rsid w:val="00615C88"/>
    <w:rsid w:val="00616225"/>
    <w:rsid w:val="00616710"/>
    <w:rsid w:val="00616E88"/>
    <w:rsid w:val="006237AA"/>
    <w:rsid w:val="006252B1"/>
    <w:rsid w:val="00626544"/>
    <w:rsid w:val="00630667"/>
    <w:rsid w:val="00630B63"/>
    <w:rsid w:val="00631B3E"/>
    <w:rsid w:val="00632B57"/>
    <w:rsid w:val="00632DBD"/>
    <w:rsid w:val="00632EC0"/>
    <w:rsid w:val="0063352E"/>
    <w:rsid w:val="00641994"/>
    <w:rsid w:val="006434EE"/>
    <w:rsid w:val="0064510F"/>
    <w:rsid w:val="00646927"/>
    <w:rsid w:val="00646C97"/>
    <w:rsid w:val="00647047"/>
    <w:rsid w:val="00647838"/>
    <w:rsid w:val="00650238"/>
    <w:rsid w:val="00653C68"/>
    <w:rsid w:val="006553E4"/>
    <w:rsid w:val="0065725C"/>
    <w:rsid w:val="006578FF"/>
    <w:rsid w:val="0066058B"/>
    <w:rsid w:val="006612CC"/>
    <w:rsid w:val="006613E9"/>
    <w:rsid w:val="00661536"/>
    <w:rsid w:val="00661AD8"/>
    <w:rsid w:val="00661D1E"/>
    <w:rsid w:val="00663D1A"/>
    <w:rsid w:val="00664394"/>
    <w:rsid w:val="00665FD5"/>
    <w:rsid w:val="00666396"/>
    <w:rsid w:val="00666C13"/>
    <w:rsid w:val="00671669"/>
    <w:rsid w:val="00671A9B"/>
    <w:rsid w:val="00671CEB"/>
    <w:rsid w:val="00673600"/>
    <w:rsid w:val="00675990"/>
    <w:rsid w:val="0067678E"/>
    <w:rsid w:val="00680509"/>
    <w:rsid w:val="00680C9A"/>
    <w:rsid w:val="006811DC"/>
    <w:rsid w:val="006829C1"/>
    <w:rsid w:val="0068443C"/>
    <w:rsid w:val="00684DCF"/>
    <w:rsid w:val="00685826"/>
    <w:rsid w:val="00685AE9"/>
    <w:rsid w:val="0068692B"/>
    <w:rsid w:val="0069047C"/>
    <w:rsid w:val="00690D8C"/>
    <w:rsid w:val="00690FFA"/>
    <w:rsid w:val="00692732"/>
    <w:rsid w:val="00694FDD"/>
    <w:rsid w:val="00695C46"/>
    <w:rsid w:val="0069709B"/>
    <w:rsid w:val="00697A4B"/>
    <w:rsid w:val="006A24F6"/>
    <w:rsid w:val="006A32D5"/>
    <w:rsid w:val="006A3873"/>
    <w:rsid w:val="006A5849"/>
    <w:rsid w:val="006A7E3F"/>
    <w:rsid w:val="006B1188"/>
    <w:rsid w:val="006B5399"/>
    <w:rsid w:val="006B57E4"/>
    <w:rsid w:val="006B6638"/>
    <w:rsid w:val="006B6FB0"/>
    <w:rsid w:val="006C0E39"/>
    <w:rsid w:val="006C132E"/>
    <w:rsid w:val="006C3182"/>
    <w:rsid w:val="006C3CE4"/>
    <w:rsid w:val="006C4EB0"/>
    <w:rsid w:val="006C6D51"/>
    <w:rsid w:val="006C7278"/>
    <w:rsid w:val="006C7DEF"/>
    <w:rsid w:val="006D01DD"/>
    <w:rsid w:val="006D0DE0"/>
    <w:rsid w:val="006D45C3"/>
    <w:rsid w:val="006D46C8"/>
    <w:rsid w:val="006D4A88"/>
    <w:rsid w:val="006D60E7"/>
    <w:rsid w:val="006D6C29"/>
    <w:rsid w:val="006E09F9"/>
    <w:rsid w:val="006E26D6"/>
    <w:rsid w:val="006E2CBB"/>
    <w:rsid w:val="006E2F61"/>
    <w:rsid w:val="006E5892"/>
    <w:rsid w:val="006E655D"/>
    <w:rsid w:val="006E664A"/>
    <w:rsid w:val="006E72A1"/>
    <w:rsid w:val="006E7423"/>
    <w:rsid w:val="006F1D35"/>
    <w:rsid w:val="006F3585"/>
    <w:rsid w:val="006F4C4D"/>
    <w:rsid w:val="006F7B28"/>
    <w:rsid w:val="006F7DBE"/>
    <w:rsid w:val="00700A9C"/>
    <w:rsid w:val="007010E8"/>
    <w:rsid w:val="00706E9A"/>
    <w:rsid w:val="007071BF"/>
    <w:rsid w:val="007072A7"/>
    <w:rsid w:val="007075E1"/>
    <w:rsid w:val="00707CA5"/>
    <w:rsid w:val="0071001F"/>
    <w:rsid w:val="00711042"/>
    <w:rsid w:val="00712250"/>
    <w:rsid w:val="007125DE"/>
    <w:rsid w:val="007128C1"/>
    <w:rsid w:val="00715572"/>
    <w:rsid w:val="00715B83"/>
    <w:rsid w:val="007172BA"/>
    <w:rsid w:val="00720B42"/>
    <w:rsid w:val="00720D24"/>
    <w:rsid w:val="007219E0"/>
    <w:rsid w:val="007228B9"/>
    <w:rsid w:val="007251FD"/>
    <w:rsid w:val="00725E9F"/>
    <w:rsid w:val="00730E56"/>
    <w:rsid w:val="007312DA"/>
    <w:rsid w:val="0073262E"/>
    <w:rsid w:val="00732815"/>
    <w:rsid w:val="00733464"/>
    <w:rsid w:val="007334ED"/>
    <w:rsid w:val="00735EFD"/>
    <w:rsid w:val="00736225"/>
    <w:rsid w:val="007364D5"/>
    <w:rsid w:val="007439AE"/>
    <w:rsid w:val="00744C0E"/>
    <w:rsid w:val="00751ACC"/>
    <w:rsid w:val="00753041"/>
    <w:rsid w:val="0075313F"/>
    <w:rsid w:val="007546DB"/>
    <w:rsid w:val="00754DC0"/>
    <w:rsid w:val="0075518B"/>
    <w:rsid w:val="0075726C"/>
    <w:rsid w:val="00757FC9"/>
    <w:rsid w:val="00760599"/>
    <w:rsid w:val="00760861"/>
    <w:rsid w:val="007608B9"/>
    <w:rsid w:val="00760D0C"/>
    <w:rsid w:val="00760FE3"/>
    <w:rsid w:val="00761B78"/>
    <w:rsid w:val="0076552F"/>
    <w:rsid w:val="007707B4"/>
    <w:rsid w:val="0077139E"/>
    <w:rsid w:val="00773BE5"/>
    <w:rsid w:val="00773FC5"/>
    <w:rsid w:val="007742EE"/>
    <w:rsid w:val="007756E6"/>
    <w:rsid w:val="007763F0"/>
    <w:rsid w:val="00777E76"/>
    <w:rsid w:val="00780E18"/>
    <w:rsid w:val="007824CA"/>
    <w:rsid w:val="007846E9"/>
    <w:rsid w:val="007854F9"/>
    <w:rsid w:val="007877D7"/>
    <w:rsid w:val="00791D2D"/>
    <w:rsid w:val="00793C78"/>
    <w:rsid w:val="00795A1C"/>
    <w:rsid w:val="00795CFE"/>
    <w:rsid w:val="007977FC"/>
    <w:rsid w:val="00797CEC"/>
    <w:rsid w:val="007A003B"/>
    <w:rsid w:val="007A17EB"/>
    <w:rsid w:val="007A1C9F"/>
    <w:rsid w:val="007A3E2E"/>
    <w:rsid w:val="007A4222"/>
    <w:rsid w:val="007A5868"/>
    <w:rsid w:val="007A5FD6"/>
    <w:rsid w:val="007A7DC4"/>
    <w:rsid w:val="007B057F"/>
    <w:rsid w:val="007B13E7"/>
    <w:rsid w:val="007B277E"/>
    <w:rsid w:val="007B316B"/>
    <w:rsid w:val="007B3225"/>
    <w:rsid w:val="007B3471"/>
    <w:rsid w:val="007B4723"/>
    <w:rsid w:val="007B6F87"/>
    <w:rsid w:val="007B752F"/>
    <w:rsid w:val="007B78CE"/>
    <w:rsid w:val="007C0579"/>
    <w:rsid w:val="007C0A2E"/>
    <w:rsid w:val="007C49B0"/>
    <w:rsid w:val="007C59C4"/>
    <w:rsid w:val="007C5FCF"/>
    <w:rsid w:val="007C62F2"/>
    <w:rsid w:val="007C6740"/>
    <w:rsid w:val="007C7837"/>
    <w:rsid w:val="007D30E4"/>
    <w:rsid w:val="007D4E98"/>
    <w:rsid w:val="007D5B82"/>
    <w:rsid w:val="007D6E38"/>
    <w:rsid w:val="007D7B59"/>
    <w:rsid w:val="007E12B2"/>
    <w:rsid w:val="007E1C80"/>
    <w:rsid w:val="007E1D3B"/>
    <w:rsid w:val="007E3688"/>
    <w:rsid w:val="007E4D02"/>
    <w:rsid w:val="007E4DB9"/>
    <w:rsid w:val="007E6A68"/>
    <w:rsid w:val="007E6E11"/>
    <w:rsid w:val="007E75DE"/>
    <w:rsid w:val="007E778E"/>
    <w:rsid w:val="007E7A03"/>
    <w:rsid w:val="007E7EFE"/>
    <w:rsid w:val="007F2DFE"/>
    <w:rsid w:val="007F45F2"/>
    <w:rsid w:val="007F5C7D"/>
    <w:rsid w:val="007F6A62"/>
    <w:rsid w:val="007F769C"/>
    <w:rsid w:val="007F7FC9"/>
    <w:rsid w:val="00801FA0"/>
    <w:rsid w:val="00802524"/>
    <w:rsid w:val="00802A39"/>
    <w:rsid w:val="008037B2"/>
    <w:rsid w:val="008037C8"/>
    <w:rsid w:val="00803821"/>
    <w:rsid w:val="00806905"/>
    <w:rsid w:val="008074B1"/>
    <w:rsid w:val="00810224"/>
    <w:rsid w:val="0081080A"/>
    <w:rsid w:val="00810C40"/>
    <w:rsid w:val="00811351"/>
    <w:rsid w:val="0081173D"/>
    <w:rsid w:val="00811854"/>
    <w:rsid w:val="00811AF0"/>
    <w:rsid w:val="00811FBA"/>
    <w:rsid w:val="0081211C"/>
    <w:rsid w:val="00812400"/>
    <w:rsid w:val="0081245B"/>
    <w:rsid w:val="008126B0"/>
    <w:rsid w:val="008145B0"/>
    <w:rsid w:val="00816799"/>
    <w:rsid w:val="0081732C"/>
    <w:rsid w:val="00817844"/>
    <w:rsid w:val="00817994"/>
    <w:rsid w:val="008204B5"/>
    <w:rsid w:val="00820601"/>
    <w:rsid w:val="0082084B"/>
    <w:rsid w:val="00820F47"/>
    <w:rsid w:val="0082495F"/>
    <w:rsid w:val="00824968"/>
    <w:rsid w:val="00826013"/>
    <w:rsid w:val="00827FB5"/>
    <w:rsid w:val="00830693"/>
    <w:rsid w:val="0083085E"/>
    <w:rsid w:val="00831B0C"/>
    <w:rsid w:val="00833EE7"/>
    <w:rsid w:val="0083523A"/>
    <w:rsid w:val="00835625"/>
    <w:rsid w:val="00837B58"/>
    <w:rsid w:val="00840393"/>
    <w:rsid w:val="00841F85"/>
    <w:rsid w:val="00844351"/>
    <w:rsid w:val="00844F71"/>
    <w:rsid w:val="008456EE"/>
    <w:rsid w:val="00845788"/>
    <w:rsid w:val="00845B23"/>
    <w:rsid w:val="008504BB"/>
    <w:rsid w:val="00851607"/>
    <w:rsid w:val="008528E1"/>
    <w:rsid w:val="00857D40"/>
    <w:rsid w:val="008617E3"/>
    <w:rsid w:val="008625B9"/>
    <w:rsid w:val="008640C6"/>
    <w:rsid w:val="00870589"/>
    <w:rsid w:val="00870F7E"/>
    <w:rsid w:val="00871261"/>
    <w:rsid w:val="00872CA9"/>
    <w:rsid w:val="008765EF"/>
    <w:rsid w:val="0087680E"/>
    <w:rsid w:val="008814D1"/>
    <w:rsid w:val="008835D1"/>
    <w:rsid w:val="00885425"/>
    <w:rsid w:val="008865AF"/>
    <w:rsid w:val="00886C6D"/>
    <w:rsid w:val="00886FB1"/>
    <w:rsid w:val="00890665"/>
    <w:rsid w:val="00892B0D"/>
    <w:rsid w:val="0089319F"/>
    <w:rsid w:val="008936CF"/>
    <w:rsid w:val="00894196"/>
    <w:rsid w:val="008949CE"/>
    <w:rsid w:val="008952CF"/>
    <w:rsid w:val="00895E50"/>
    <w:rsid w:val="00895F53"/>
    <w:rsid w:val="0089736B"/>
    <w:rsid w:val="008974B1"/>
    <w:rsid w:val="00897647"/>
    <w:rsid w:val="008A0CB4"/>
    <w:rsid w:val="008A111B"/>
    <w:rsid w:val="008A2B41"/>
    <w:rsid w:val="008A4026"/>
    <w:rsid w:val="008A48B1"/>
    <w:rsid w:val="008A4F4B"/>
    <w:rsid w:val="008A6C6F"/>
    <w:rsid w:val="008A6E6E"/>
    <w:rsid w:val="008A6EC8"/>
    <w:rsid w:val="008A723B"/>
    <w:rsid w:val="008A7C02"/>
    <w:rsid w:val="008B0131"/>
    <w:rsid w:val="008B17F2"/>
    <w:rsid w:val="008B2C73"/>
    <w:rsid w:val="008B35B9"/>
    <w:rsid w:val="008B5021"/>
    <w:rsid w:val="008B7ED3"/>
    <w:rsid w:val="008C02EF"/>
    <w:rsid w:val="008C1042"/>
    <w:rsid w:val="008C1E2F"/>
    <w:rsid w:val="008C23B0"/>
    <w:rsid w:val="008C48D3"/>
    <w:rsid w:val="008D0D25"/>
    <w:rsid w:val="008D1579"/>
    <w:rsid w:val="008D4841"/>
    <w:rsid w:val="008D50D9"/>
    <w:rsid w:val="008D5FAB"/>
    <w:rsid w:val="008E0BFF"/>
    <w:rsid w:val="008E1351"/>
    <w:rsid w:val="008E2BBD"/>
    <w:rsid w:val="008E41EB"/>
    <w:rsid w:val="008E4ED9"/>
    <w:rsid w:val="008E6D51"/>
    <w:rsid w:val="008F5CAF"/>
    <w:rsid w:val="008F7AC3"/>
    <w:rsid w:val="00900309"/>
    <w:rsid w:val="00901146"/>
    <w:rsid w:val="0090281E"/>
    <w:rsid w:val="009033F7"/>
    <w:rsid w:val="0090468A"/>
    <w:rsid w:val="009079E4"/>
    <w:rsid w:val="00907FC7"/>
    <w:rsid w:val="009125D6"/>
    <w:rsid w:val="00912F7C"/>
    <w:rsid w:val="009132EC"/>
    <w:rsid w:val="00916960"/>
    <w:rsid w:val="00916EC9"/>
    <w:rsid w:val="00917DC4"/>
    <w:rsid w:val="00920DAA"/>
    <w:rsid w:val="009222D4"/>
    <w:rsid w:val="009228C1"/>
    <w:rsid w:val="009229EA"/>
    <w:rsid w:val="00922C3E"/>
    <w:rsid w:val="009243AD"/>
    <w:rsid w:val="009259C2"/>
    <w:rsid w:val="00925F97"/>
    <w:rsid w:val="009317C4"/>
    <w:rsid w:val="0093373E"/>
    <w:rsid w:val="00934A7E"/>
    <w:rsid w:val="009354B8"/>
    <w:rsid w:val="00935671"/>
    <w:rsid w:val="00936627"/>
    <w:rsid w:val="00937C79"/>
    <w:rsid w:val="00943422"/>
    <w:rsid w:val="00943CEF"/>
    <w:rsid w:val="0094564A"/>
    <w:rsid w:val="00946AF2"/>
    <w:rsid w:val="00946D6B"/>
    <w:rsid w:val="009470A9"/>
    <w:rsid w:val="009500DB"/>
    <w:rsid w:val="00950EFD"/>
    <w:rsid w:val="00951E6B"/>
    <w:rsid w:val="009529B9"/>
    <w:rsid w:val="0095333C"/>
    <w:rsid w:val="00953E4A"/>
    <w:rsid w:val="00956FA9"/>
    <w:rsid w:val="00957F52"/>
    <w:rsid w:val="009623B7"/>
    <w:rsid w:val="00966F19"/>
    <w:rsid w:val="009700CB"/>
    <w:rsid w:val="0097465F"/>
    <w:rsid w:val="00974F97"/>
    <w:rsid w:val="00977EA9"/>
    <w:rsid w:val="00981A5C"/>
    <w:rsid w:val="009826D8"/>
    <w:rsid w:val="00982EDF"/>
    <w:rsid w:val="00983C81"/>
    <w:rsid w:val="00984BC7"/>
    <w:rsid w:val="00984E62"/>
    <w:rsid w:val="00986294"/>
    <w:rsid w:val="009869E5"/>
    <w:rsid w:val="00987580"/>
    <w:rsid w:val="00992451"/>
    <w:rsid w:val="00993771"/>
    <w:rsid w:val="0099462B"/>
    <w:rsid w:val="00995CBA"/>
    <w:rsid w:val="0099620D"/>
    <w:rsid w:val="009A0146"/>
    <w:rsid w:val="009A1D8A"/>
    <w:rsid w:val="009A27CF"/>
    <w:rsid w:val="009A42B1"/>
    <w:rsid w:val="009A4D4C"/>
    <w:rsid w:val="009A5EA6"/>
    <w:rsid w:val="009A6208"/>
    <w:rsid w:val="009B1D52"/>
    <w:rsid w:val="009B434A"/>
    <w:rsid w:val="009B47AE"/>
    <w:rsid w:val="009B4EE7"/>
    <w:rsid w:val="009B71F2"/>
    <w:rsid w:val="009B7373"/>
    <w:rsid w:val="009C3177"/>
    <w:rsid w:val="009C3CF1"/>
    <w:rsid w:val="009C5AC4"/>
    <w:rsid w:val="009C7CB8"/>
    <w:rsid w:val="009C7D28"/>
    <w:rsid w:val="009D0723"/>
    <w:rsid w:val="009D0CC2"/>
    <w:rsid w:val="009D4552"/>
    <w:rsid w:val="009D4B7E"/>
    <w:rsid w:val="009D5D1B"/>
    <w:rsid w:val="009D64D0"/>
    <w:rsid w:val="009D6809"/>
    <w:rsid w:val="009D7C69"/>
    <w:rsid w:val="009E0202"/>
    <w:rsid w:val="009E0837"/>
    <w:rsid w:val="009E0E90"/>
    <w:rsid w:val="009E59E7"/>
    <w:rsid w:val="009E657D"/>
    <w:rsid w:val="009E68ED"/>
    <w:rsid w:val="009E716C"/>
    <w:rsid w:val="009E7481"/>
    <w:rsid w:val="009E76EC"/>
    <w:rsid w:val="009F2E84"/>
    <w:rsid w:val="009F434D"/>
    <w:rsid w:val="009F4E96"/>
    <w:rsid w:val="009F6030"/>
    <w:rsid w:val="009F68E9"/>
    <w:rsid w:val="00A00642"/>
    <w:rsid w:val="00A01C01"/>
    <w:rsid w:val="00A02261"/>
    <w:rsid w:val="00A027E1"/>
    <w:rsid w:val="00A030A8"/>
    <w:rsid w:val="00A040C6"/>
    <w:rsid w:val="00A058AF"/>
    <w:rsid w:val="00A06FE9"/>
    <w:rsid w:val="00A076AE"/>
    <w:rsid w:val="00A077B0"/>
    <w:rsid w:val="00A10C47"/>
    <w:rsid w:val="00A11A96"/>
    <w:rsid w:val="00A11DDF"/>
    <w:rsid w:val="00A1236F"/>
    <w:rsid w:val="00A13C6E"/>
    <w:rsid w:val="00A13EFA"/>
    <w:rsid w:val="00A14508"/>
    <w:rsid w:val="00A14EB8"/>
    <w:rsid w:val="00A2143F"/>
    <w:rsid w:val="00A217F1"/>
    <w:rsid w:val="00A223FD"/>
    <w:rsid w:val="00A22ACF"/>
    <w:rsid w:val="00A23084"/>
    <w:rsid w:val="00A23E21"/>
    <w:rsid w:val="00A2446A"/>
    <w:rsid w:val="00A254D9"/>
    <w:rsid w:val="00A2655E"/>
    <w:rsid w:val="00A26B6E"/>
    <w:rsid w:val="00A26CD6"/>
    <w:rsid w:val="00A27FCD"/>
    <w:rsid w:val="00A30FBE"/>
    <w:rsid w:val="00A31B35"/>
    <w:rsid w:val="00A321E0"/>
    <w:rsid w:val="00A32F09"/>
    <w:rsid w:val="00A3434E"/>
    <w:rsid w:val="00A35820"/>
    <w:rsid w:val="00A35C01"/>
    <w:rsid w:val="00A401D5"/>
    <w:rsid w:val="00A41CCA"/>
    <w:rsid w:val="00A42A49"/>
    <w:rsid w:val="00A42E99"/>
    <w:rsid w:val="00A42F50"/>
    <w:rsid w:val="00A456F2"/>
    <w:rsid w:val="00A45CA9"/>
    <w:rsid w:val="00A4676A"/>
    <w:rsid w:val="00A54A49"/>
    <w:rsid w:val="00A57C75"/>
    <w:rsid w:val="00A604A3"/>
    <w:rsid w:val="00A609CA"/>
    <w:rsid w:val="00A60EDA"/>
    <w:rsid w:val="00A61353"/>
    <w:rsid w:val="00A62601"/>
    <w:rsid w:val="00A631D4"/>
    <w:rsid w:val="00A65790"/>
    <w:rsid w:val="00A65FE8"/>
    <w:rsid w:val="00A66214"/>
    <w:rsid w:val="00A66A01"/>
    <w:rsid w:val="00A67AA7"/>
    <w:rsid w:val="00A7193B"/>
    <w:rsid w:val="00A71FC3"/>
    <w:rsid w:val="00A722FD"/>
    <w:rsid w:val="00A737DA"/>
    <w:rsid w:val="00A74817"/>
    <w:rsid w:val="00A751F4"/>
    <w:rsid w:val="00A75C50"/>
    <w:rsid w:val="00A80C79"/>
    <w:rsid w:val="00A816F9"/>
    <w:rsid w:val="00A81A39"/>
    <w:rsid w:val="00A827E7"/>
    <w:rsid w:val="00A82CE5"/>
    <w:rsid w:val="00A8560B"/>
    <w:rsid w:val="00A85A18"/>
    <w:rsid w:val="00A85CBD"/>
    <w:rsid w:val="00A87E85"/>
    <w:rsid w:val="00A91CA4"/>
    <w:rsid w:val="00A91E0F"/>
    <w:rsid w:val="00A9456C"/>
    <w:rsid w:val="00A95031"/>
    <w:rsid w:val="00A96351"/>
    <w:rsid w:val="00A9742E"/>
    <w:rsid w:val="00AA046D"/>
    <w:rsid w:val="00AA16F1"/>
    <w:rsid w:val="00AA1C00"/>
    <w:rsid w:val="00AA2B88"/>
    <w:rsid w:val="00AA2CBD"/>
    <w:rsid w:val="00AA2CEE"/>
    <w:rsid w:val="00AA2D94"/>
    <w:rsid w:val="00AA4E0D"/>
    <w:rsid w:val="00AA6046"/>
    <w:rsid w:val="00AA68B9"/>
    <w:rsid w:val="00AA6E13"/>
    <w:rsid w:val="00AA7128"/>
    <w:rsid w:val="00AB063F"/>
    <w:rsid w:val="00AB2569"/>
    <w:rsid w:val="00AB3A15"/>
    <w:rsid w:val="00AB3BB8"/>
    <w:rsid w:val="00AB4866"/>
    <w:rsid w:val="00AB4917"/>
    <w:rsid w:val="00AB4C4D"/>
    <w:rsid w:val="00AB55FD"/>
    <w:rsid w:val="00AB5CE7"/>
    <w:rsid w:val="00AB6306"/>
    <w:rsid w:val="00AB6E25"/>
    <w:rsid w:val="00AC292E"/>
    <w:rsid w:val="00AC3330"/>
    <w:rsid w:val="00AC3D00"/>
    <w:rsid w:val="00AC4093"/>
    <w:rsid w:val="00AC4C73"/>
    <w:rsid w:val="00AC5B82"/>
    <w:rsid w:val="00AC5DD1"/>
    <w:rsid w:val="00AD0DD1"/>
    <w:rsid w:val="00AD14F7"/>
    <w:rsid w:val="00AD1DB4"/>
    <w:rsid w:val="00AD200A"/>
    <w:rsid w:val="00AD213E"/>
    <w:rsid w:val="00AD3BD3"/>
    <w:rsid w:val="00AD408F"/>
    <w:rsid w:val="00AD41BD"/>
    <w:rsid w:val="00AD4EE4"/>
    <w:rsid w:val="00AD7018"/>
    <w:rsid w:val="00AE0EE3"/>
    <w:rsid w:val="00AE1E15"/>
    <w:rsid w:val="00AE7A78"/>
    <w:rsid w:val="00AF1211"/>
    <w:rsid w:val="00AF1302"/>
    <w:rsid w:val="00AF2B85"/>
    <w:rsid w:val="00AF33B5"/>
    <w:rsid w:val="00AF3CBB"/>
    <w:rsid w:val="00AF553E"/>
    <w:rsid w:val="00AF5DC1"/>
    <w:rsid w:val="00AF5F8E"/>
    <w:rsid w:val="00AF70BD"/>
    <w:rsid w:val="00B0132E"/>
    <w:rsid w:val="00B01492"/>
    <w:rsid w:val="00B01CE4"/>
    <w:rsid w:val="00B038FA"/>
    <w:rsid w:val="00B03A84"/>
    <w:rsid w:val="00B04045"/>
    <w:rsid w:val="00B04789"/>
    <w:rsid w:val="00B0497E"/>
    <w:rsid w:val="00B05184"/>
    <w:rsid w:val="00B06B80"/>
    <w:rsid w:val="00B11D60"/>
    <w:rsid w:val="00B12C67"/>
    <w:rsid w:val="00B140DB"/>
    <w:rsid w:val="00B1413B"/>
    <w:rsid w:val="00B1427D"/>
    <w:rsid w:val="00B17736"/>
    <w:rsid w:val="00B2037C"/>
    <w:rsid w:val="00B22906"/>
    <w:rsid w:val="00B234B6"/>
    <w:rsid w:val="00B25F1C"/>
    <w:rsid w:val="00B26E76"/>
    <w:rsid w:val="00B2726C"/>
    <w:rsid w:val="00B27945"/>
    <w:rsid w:val="00B356F0"/>
    <w:rsid w:val="00B37E56"/>
    <w:rsid w:val="00B40EAC"/>
    <w:rsid w:val="00B43278"/>
    <w:rsid w:val="00B447E8"/>
    <w:rsid w:val="00B468E0"/>
    <w:rsid w:val="00B47C2B"/>
    <w:rsid w:val="00B508C0"/>
    <w:rsid w:val="00B509B7"/>
    <w:rsid w:val="00B5117F"/>
    <w:rsid w:val="00B52953"/>
    <w:rsid w:val="00B53B01"/>
    <w:rsid w:val="00B5780A"/>
    <w:rsid w:val="00B57999"/>
    <w:rsid w:val="00B57EA5"/>
    <w:rsid w:val="00B622F7"/>
    <w:rsid w:val="00B62E68"/>
    <w:rsid w:val="00B637FF"/>
    <w:rsid w:val="00B649E5"/>
    <w:rsid w:val="00B64F8E"/>
    <w:rsid w:val="00B6566F"/>
    <w:rsid w:val="00B66BAC"/>
    <w:rsid w:val="00B66DD8"/>
    <w:rsid w:val="00B67F2B"/>
    <w:rsid w:val="00B70A5C"/>
    <w:rsid w:val="00B72489"/>
    <w:rsid w:val="00B74082"/>
    <w:rsid w:val="00B74C35"/>
    <w:rsid w:val="00B76773"/>
    <w:rsid w:val="00B804C9"/>
    <w:rsid w:val="00B8299E"/>
    <w:rsid w:val="00B82B05"/>
    <w:rsid w:val="00B82E17"/>
    <w:rsid w:val="00B83032"/>
    <w:rsid w:val="00B83348"/>
    <w:rsid w:val="00B84EE6"/>
    <w:rsid w:val="00B8681D"/>
    <w:rsid w:val="00B91150"/>
    <w:rsid w:val="00B91358"/>
    <w:rsid w:val="00B92AF3"/>
    <w:rsid w:val="00B92D0B"/>
    <w:rsid w:val="00B93276"/>
    <w:rsid w:val="00B9405D"/>
    <w:rsid w:val="00B943B7"/>
    <w:rsid w:val="00B96A3B"/>
    <w:rsid w:val="00B96FE1"/>
    <w:rsid w:val="00B97937"/>
    <w:rsid w:val="00BA1307"/>
    <w:rsid w:val="00BA2FBC"/>
    <w:rsid w:val="00BA5F5E"/>
    <w:rsid w:val="00BA611F"/>
    <w:rsid w:val="00BB2516"/>
    <w:rsid w:val="00BB27B4"/>
    <w:rsid w:val="00BB29FE"/>
    <w:rsid w:val="00BB2C17"/>
    <w:rsid w:val="00BB3502"/>
    <w:rsid w:val="00BB3D34"/>
    <w:rsid w:val="00BB3FD3"/>
    <w:rsid w:val="00BB4CA3"/>
    <w:rsid w:val="00BB4EF2"/>
    <w:rsid w:val="00BB7555"/>
    <w:rsid w:val="00BC1F14"/>
    <w:rsid w:val="00BC425E"/>
    <w:rsid w:val="00BC5E85"/>
    <w:rsid w:val="00BC622E"/>
    <w:rsid w:val="00BC6C44"/>
    <w:rsid w:val="00BD0370"/>
    <w:rsid w:val="00BD03F2"/>
    <w:rsid w:val="00BD24C0"/>
    <w:rsid w:val="00BD2906"/>
    <w:rsid w:val="00BD377D"/>
    <w:rsid w:val="00BD4312"/>
    <w:rsid w:val="00BD5377"/>
    <w:rsid w:val="00BD57B7"/>
    <w:rsid w:val="00BD6563"/>
    <w:rsid w:val="00BD691D"/>
    <w:rsid w:val="00BD751F"/>
    <w:rsid w:val="00BD7CDC"/>
    <w:rsid w:val="00BE06F2"/>
    <w:rsid w:val="00BE1601"/>
    <w:rsid w:val="00BE1EBA"/>
    <w:rsid w:val="00BE2C0D"/>
    <w:rsid w:val="00BE6722"/>
    <w:rsid w:val="00BE7E50"/>
    <w:rsid w:val="00BF0CF9"/>
    <w:rsid w:val="00BF1176"/>
    <w:rsid w:val="00BF1EC1"/>
    <w:rsid w:val="00BF1F1D"/>
    <w:rsid w:val="00BF22FD"/>
    <w:rsid w:val="00BF2691"/>
    <w:rsid w:val="00BF2828"/>
    <w:rsid w:val="00BF29B5"/>
    <w:rsid w:val="00BF2A02"/>
    <w:rsid w:val="00BF2BA6"/>
    <w:rsid w:val="00BF3006"/>
    <w:rsid w:val="00BF4744"/>
    <w:rsid w:val="00BF7E07"/>
    <w:rsid w:val="00C016F7"/>
    <w:rsid w:val="00C022C2"/>
    <w:rsid w:val="00C0313D"/>
    <w:rsid w:val="00C03452"/>
    <w:rsid w:val="00C06437"/>
    <w:rsid w:val="00C072B4"/>
    <w:rsid w:val="00C115A0"/>
    <w:rsid w:val="00C13549"/>
    <w:rsid w:val="00C1354E"/>
    <w:rsid w:val="00C154F8"/>
    <w:rsid w:val="00C15CA3"/>
    <w:rsid w:val="00C15F70"/>
    <w:rsid w:val="00C16401"/>
    <w:rsid w:val="00C1694D"/>
    <w:rsid w:val="00C1740F"/>
    <w:rsid w:val="00C1745B"/>
    <w:rsid w:val="00C17D9F"/>
    <w:rsid w:val="00C17F09"/>
    <w:rsid w:val="00C20B16"/>
    <w:rsid w:val="00C21DE7"/>
    <w:rsid w:val="00C23BD1"/>
    <w:rsid w:val="00C2565C"/>
    <w:rsid w:val="00C25D11"/>
    <w:rsid w:val="00C32CB2"/>
    <w:rsid w:val="00C34034"/>
    <w:rsid w:val="00C341CA"/>
    <w:rsid w:val="00C34905"/>
    <w:rsid w:val="00C35192"/>
    <w:rsid w:val="00C357A4"/>
    <w:rsid w:val="00C36834"/>
    <w:rsid w:val="00C3780A"/>
    <w:rsid w:val="00C40B32"/>
    <w:rsid w:val="00C42B31"/>
    <w:rsid w:val="00C42E4B"/>
    <w:rsid w:val="00C433BE"/>
    <w:rsid w:val="00C44782"/>
    <w:rsid w:val="00C45252"/>
    <w:rsid w:val="00C461DA"/>
    <w:rsid w:val="00C50807"/>
    <w:rsid w:val="00C513E6"/>
    <w:rsid w:val="00C51E52"/>
    <w:rsid w:val="00C5347A"/>
    <w:rsid w:val="00C54894"/>
    <w:rsid w:val="00C54B7F"/>
    <w:rsid w:val="00C54D76"/>
    <w:rsid w:val="00C554F3"/>
    <w:rsid w:val="00C56771"/>
    <w:rsid w:val="00C6023E"/>
    <w:rsid w:val="00C61073"/>
    <w:rsid w:val="00C61CFC"/>
    <w:rsid w:val="00C624A4"/>
    <w:rsid w:val="00C637F8"/>
    <w:rsid w:val="00C63C1E"/>
    <w:rsid w:val="00C645D3"/>
    <w:rsid w:val="00C64B45"/>
    <w:rsid w:val="00C6553A"/>
    <w:rsid w:val="00C662A7"/>
    <w:rsid w:val="00C6641B"/>
    <w:rsid w:val="00C672FF"/>
    <w:rsid w:val="00C72FA4"/>
    <w:rsid w:val="00C731DE"/>
    <w:rsid w:val="00C74367"/>
    <w:rsid w:val="00C74770"/>
    <w:rsid w:val="00C76440"/>
    <w:rsid w:val="00C771A8"/>
    <w:rsid w:val="00C861D2"/>
    <w:rsid w:val="00C874AD"/>
    <w:rsid w:val="00C8765C"/>
    <w:rsid w:val="00C87B69"/>
    <w:rsid w:val="00C9037E"/>
    <w:rsid w:val="00C90886"/>
    <w:rsid w:val="00C9102F"/>
    <w:rsid w:val="00C923C3"/>
    <w:rsid w:val="00C96024"/>
    <w:rsid w:val="00C96167"/>
    <w:rsid w:val="00C966A0"/>
    <w:rsid w:val="00CA00B4"/>
    <w:rsid w:val="00CA0ADF"/>
    <w:rsid w:val="00CA313C"/>
    <w:rsid w:val="00CA316E"/>
    <w:rsid w:val="00CA480C"/>
    <w:rsid w:val="00CA49AA"/>
    <w:rsid w:val="00CA4E64"/>
    <w:rsid w:val="00CA5649"/>
    <w:rsid w:val="00CA6114"/>
    <w:rsid w:val="00CA6D1E"/>
    <w:rsid w:val="00CA7AE9"/>
    <w:rsid w:val="00CB1383"/>
    <w:rsid w:val="00CB13E4"/>
    <w:rsid w:val="00CB1A58"/>
    <w:rsid w:val="00CB2CF5"/>
    <w:rsid w:val="00CB2EB3"/>
    <w:rsid w:val="00CB3C10"/>
    <w:rsid w:val="00CB3DC0"/>
    <w:rsid w:val="00CB7333"/>
    <w:rsid w:val="00CC0C4E"/>
    <w:rsid w:val="00CC286C"/>
    <w:rsid w:val="00CC3D3A"/>
    <w:rsid w:val="00CC431D"/>
    <w:rsid w:val="00CC49B3"/>
    <w:rsid w:val="00CC5555"/>
    <w:rsid w:val="00CC5C41"/>
    <w:rsid w:val="00CC74E7"/>
    <w:rsid w:val="00CD13B8"/>
    <w:rsid w:val="00CD3E29"/>
    <w:rsid w:val="00CD42C0"/>
    <w:rsid w:val="00CD4717"/>
    <w:rsid w:val="00CD4F52"/>
    <w:rsid w:val="00CD6C20"/>
    <w:rsid w:val="00CD730E"/>
    <w:rsid w:val="00CD768F"/>
    <w:rsid w:val="00CE04BD"/>
    <w:rsid w:val="00CE1A96"/>
    <w:rsid w:val="00CE27AC"/>
    <w:rsid w:val="00CE27BC"/>
    <w:rsid w:val="00CE2AA9"/>
    <w:rsid w:val="00CE36AA"/>
    <w:rsid w:val="00CE3C01"/>
    <w:rsid w:val="00CE54CF"/>
    <w:rsid w:val="00CE681C"/>
    <w:rsid w:val="00CE7837"/>
    <w:rsid w:val="00CF1709"/>
    <w:rsid w:val="00CF1738"/>
    <w:rsid w:val="00CF215C"/>
    <w:rsid w:val="00CF228D"/>
    <w:rsid w:val="00CF31FC"/>
    <w:rsid w:val="00CF4422"/>
    <w:rsid w:val="00CF475B"/>
    <w:rsid w:val="00CF4ED4"/>
    <w:rsid w:val="00CF5967"/>
    <w:rsid w:val="00D015CC"/>
    <w:rsid w:val="00D018CF"/>
    <w:rsid w:val="00D04E9C"/>
    <w:rsid w:val="00D05623"/>
    <w:rsid w:val="00D05706"/>
    <w:rsid w:val="00D072EC"/>
    <w:rsid w:val="00D07A3B"/>
    <w:rsid w:val="00D07E67"/>
    <w:rsid w:val="00D10DE7"/>
    <w:rsid w:val="00D11E71"/>
    <w:rsid w:val="00D12925"/>
    <w:rsid w:val="00D1634D"/>
    <w:rsid w:val="00D20645"/>
    <w:rsid w:val="00D209B8"/>
    <w:rsid w:val="00D2355F"/>
    <w:rsid w:val="00D23BA8"/>
    <w:rsid w:val="00D24866"/>
    <w:rsid w:val="00D26725"/>
    <w:rsid w:val="00D26CFF"/>
    <w:rsid w:val="00D30412"/>
    <w:rsid w:val="00D30536"/>
    <w:rsid w:val="00D315AE"/>
    <w:rsid w:val="00D32102"/>
    <w:rsid w:val="00D328C6"/>
    <w:rsid w:val="00D34C74"/>
    <w:rsid w:val="00D354F8"/>
    <w:rsid w:val="00D36C15"/>
    <w:rsid w:val="00D40847"/>
    <w:rsid w:val="00D40B10"/>
    <w:rsid w:val="00D41C32"/>
    <w:rsid w:val="00D45E57"/>
    <w:rsid w:val="00D47C43"/>
    <w:rsid w:val="00D500EB"/>
    <w:rsid w:val="00D50D4A"/>
    <w:rsid w:val="00D50DD7"/>
    <w:rsid w:val="00D51B07"/>
    <w:rsid w:val="00D52839"/>
    <w:rsid w:val="00D53E45"/>
    <w:rsid w:val="00D542CC"/>
    <w:rsid w:val="00D56711"/>
    <w:rsid w:val="00D56774"/>
    <w:rsid w:val="00D5733F"/>
    <w:rsid w:val="00D57554"/>
    <w:rsid w:val="00D625D6"/>
    <w:rsid w:val="00D62B4A"/>
    <w:rsid w:val="00D6304B"/>
    <w:rsid w:val="00D65ED4"/>
    <w:rsid w:val="00D70A86"/>
    <w:rsid w:val="00D712A0"/>
    <w:rsid w:val="00D72F33"/>
    <w:rsid w:val="00D7400A"/>
    <w:rsid w:val="00D7492E"/>
    <w:rsid w:val="00D75232"/>
    <w:rsid w:val="00D768AF"/>
    <w:rsid w:val="00D819B9"/>
    <w:rsid w:val="00D81F1A"/>
    <w:rsid w:val="00D8220E"/>
    <w:rsid w:val="00D824D0"/>
    <w:rsid w:val="00D841E9"/>
    <w:rsid w:val="00D856DA"/>
    <w:rsid w:val="00D85C8A"/>
    <w:rsid w:val="00D86028"/>
    <w:rsid w:val="00D86651"/>
    <w:rsid w:val="00D900C8"/>
    <w:rsid w:val="00D90674"/>
    <w:rsid w:val="00D9296A"/>
    <w:rsid w:val="00D9383C"/>
    <w:rsid w:val="00D952FA"/>
    <w:rsid w:val="00D96BA0"/>
    <w:rsid w:val="00DA02A6"/>
    <w:rsid w:val="00DA101F"/>
    <w:rsid w:val="00DA15AA"/>
    <w:rsid w:val="00DA16EC"/>
    <w:rsid w:val="00DA2169"/>
    <w:rsid w:val="00DA2667"/>
    <w:rsid w:val="00DA413B"/>
    <w:rsid w:val="00DA4577"/>
    <w:rsid w:val="00DA68EC"/>
    <w:rsid w:val="00DB1ABA"/>
    <w:rsid w:val="00DB360A"/>
    <w:rsid w:val="00DB3D80"/>
    <w:rsid w:val="00DB498F"/>
    <w:rsid w:val="00DB4A26"/>
    <w:rsid w:val="00DB571D"/>
    <w:rsid w:val="00DB6681"/>
    <w:rsid w:val="00DB6A2E"/>
    <w:rsid w:val="00DB7928"/>
    <w:rsid w:val="00DC0B12"/>
    <w:rsid w:val="00DC15B5"/>
    <w:rsid w:val="00DC22E4"/>
    <w:rsid w:val="00DC3281"/>
    <w:rsid w:val="00DC44F4"/>
    <w:rsid w:val="00DC5C8E"/>
    <w:rsid w:val="00DD08C8"/>
    <w:rsid w:val="00DD167B"/>
    <w:rsid w:val="00DD1A8F"/>
    <w:rsid w:val="00DD1D20"/>
    <w:rsid w:val="00DD1ED0"/>
    <w:rsid w:val="00DD269F"/>
    <w:rsid w:val="00DD45D3"/>
    <w:rsid w:val="00DD51D8"/>
    <w:rsid w:val="00DD56B9"/>
    <w:rsid w:val="00DE11E0"/>
    <w:rsid w:val="00DE29F2"/>
    <w:rsid w:val="00DE4377"/>
    <w:rsid w:val="00DE491D"/>
    <w:rsid w:val="00DE5F6C"/>
    <w:rsid w:val="00DE6DBD"/>
    <w:rsid w:val="00DE729A"/>
    <w:rsid w:val="00DE76B1"/>
    <w:rsid w:val="00DF06E2"/>
    <w:rsid w:val="00DF3BE9"/>
    <w:rsid w:val="00DF40D5"/>
    <w:rsid w:val="00DF4F1E"/>
    <w:rsid w:val="00DF5984"/>
    <w:rsid w:val="00DF6556"/>
    <w:rsid w:val="00DF65EB"/>
    <w:rsid w:val="00DF6B9A"/>
    <w:rsid w:val="00DF7E37"/>
    <w:rsid w:val="00E01AC5"/>
    <w:rsid w:val="00E024D9"/>
    <w:rsid w:val="00E029AB"/>
    <w:rsid w:val="00E06E71"/>
    <w:rsid w:val="00E07AD9"/>
    <w:rsid w:val="00E13115"/>
    <w:rsid w:val="00E17871"/>
    <w:rsid w:val="00E20651"/>
    <w:rsid w:val="00E21737"/>
    <w:rsid w:val="00E21B13"/>
    <w:rsid w:val="00E22EB8"/>
    <w:rsid w:val="00E25C6C"/>
    <w:rsid w:val="00E260A4"/>
    <w:rsid w:val="00E266AB"/>
    <w:rsid w:val="00E26BA5"/>
    <w:rsid w:val="00E26D6E"/>
    <w:rsid w:val="00E27FC3"/>
    <w:rsid w:val="00E30800"/>
    <w:rsid w:val="00E30ED2"/>
    <w:rsid w:val="00E3531D"/>
    <w:rsid w:val="00E42514"/>
    <w:rsid w:val="00E447DE"/>
    <w:rsid w:val="00E45090"/>
    <w:rsid w:val="00E5155A"/>
    <w:rsid w:val="00E54F21"/>
    <w:rsid w:val="00E566C9"/>
    <w:rsid w:val="00E567E3"/>
    <w:rsid w:val="00E5721A"/>
    <w:rsid w:val="00E61846"/>
    <w:rsid w:val="00E62750"/>
    <w:rsid w:val="00E63AA8"/>
    <w:rsid w:val="00E63C68"/>
    <w:rsid w:val="00E65C3C"/>
    <w:rsid w:val="00E65F09"/>
    <w:rsid w:val="00E66B00"/>
    <w:rsid w:val="00E71B3B"/>
    <w:rsid w:val="00E727BF"/>
    <w:rsid w:val="00E751DC"/>
    <w:rsid w:val="00E763A8"/>
    <w:rsid w:val="00E80AF0"/>
    <w:rsid w:val="00E823D0"/>
    <w:rsid w:val="00E839EA"/>
    <w:rsid w:val="00E8403A"/>
    <w:rsid w:val="00E8465C"/>
    <w:rsid w:val="00E8563B"/>
    <w:rsid w:val="00E9025C"/>
    <w:rsid w:val="00E90FE4"/>
    <w:rsid w:val="00E913B1"/>
    <w:rsid w:val="00E91D5F"/>
    <w:rsid w:val="00E92BC0"/>
    <w:rsid w:val="00E930DB"/>
    <w:rsid w:val="00E948B3"/>
    <w:rsid w:val="00E94EB8"/>
    <w:rsid w:val="00E95213"/>
    <w:rsid w:val="00E95613"/>
    <w:rsid w:val="00E973ED"/>
    <w:rsid w:val="00EA04CD"/>
    <w:rsid w:val="00EA0E54"/>
    <w:rsid w:val="00EA1399"/>
    <w:rsid w:val="00EA35C9"/>
    <w:rsid w:val="00EA3D5D"/>
    <w:rsid w:val="00EA4B6A"/>
    <w:rsid w:val="00EA569C"/>
    <w:rsid w:val="00EB0283"/>
    <w:rsid w:val="00EB0D8E"/>
    <w:rsid w:val="00EB292E"/>
    <w:rsid w:val="00EB7335"/>
    <w:rsid w:val="00EC1A2A"/>
    <w:rsid w:val="00EC253B"/>
    <w:rsid w:val="00EC3BAA"/>
    <w:rsid w:val="00EC742E"/>
    <w:rsid w:val="00EC7577"/>
    <w:rsid w:val="00EC7AB2"/>
    <w:rsid w:val="00ED0306"/>
    <w:rsid w:val="00ED0BB6"/>
    <w:rsid w:val="00ED0F83"/>
    <w:rsid w:val="00ED1093"/>
    <w:rsid w:val="00ED4937"/>
    <w:rsid w:val="00ED5572"/>
    <w:rsid w:val="00ED64F9"/>
    <w:rsid w:val="00EE066C"/>
    <w:rsid w:val="00EE0BEE"/>
    <w:rsid w:val="00EE1DF5"/>
    <w:rsid w:val="00EE283D"/>
    <w:rsid w:val="00EE2E82"/>
    <w:rsid w:val="00EE2EBB"/>
    <w:rsid w:val="00EE47A6"/>
    <w:rsid w:val="00EE6394"/>
    <w:rsid w:val="00EF04BB"/>
    <w:rsid w:val="00EF22BF"/>
    <w:rsid w:val="00EF4938"/>
    <w:rsid w:val="00EF4C7C"/>
    <w:rsid w:val="00EF4DF0"/>
    <w:rsid w:val="00EF5522"/>
    <w:rsid w:val="00EF5EEA"/>
    <w:rsid w:val="00EF6AAD"/>
    <w:rsid w:val="00EF6FCC"/>
    <w:rsid w:val="00F03453"/>
    <w:rsid w:val="00F05884"/>
    <w:rsid w:val="00F0597A"/>
    <w:rsid w:val="00F06F18"/>
    <w:rsid w:val="00F07914"/>
    <w:rsid w:val="00F07F90"/>
    <w:rsid w:val="00F100DD"/>
    <w:rsid w:val="00F1052B"/>
    <w:rsid w:val="00F10765"/>
    <w:rsid w:val="00F1212C"/>
    <w:rsid w:val="00F12B92"/>
    <w:rsid w:val="00F146B0"/>
    <w:rsid w:val="00F14DA2"/>
    <w:rsid w:val="00F15C39"/>
    <w:rsid w:val="00F160C0"/>
    <w:rsid w:val="00F1615F"/>
    <w:rsid w:val="00F1771A"/>
    <w:rsid w:val="00F22135"/>
    <w:rsid w:val="00F23E83"/>
    <w:rsid w:val="00F2533A"/>
    <w:rsid w:val="00F26483"/>
    <w:rsid w:val="00F271A2"/>
    <w:rsid w:val="00F30327"/>
    <w:rsid w:val="00F3118C"/>
    <w:rsid w:val="00F3124E"/>
    <w:rsid w:val="00F32521"/>
    <w:rsid w:val="00F36963"/>
    <w:rsid w:val="00F3732A"/>
    <w:rsid w:val="00F37DB9"/>
    <w:rsid w:val="00F404CF"/>
    <w:rsid w:val="00F43457"/>
    <w:rsid w:val="00F44DA2"/>
    <w:rsid w:val="00F45220"/>
    <w:rsid w:val="00F45D0D"/>
    <w:rsid w:val="00F5185B"/>
    <w:rsid w:val="00F51C22"/>
    <w:rsid w:val="00F53CB7"/>
    <w:rsid w:val="00F56C26"/>
    <w:rsid w:val="00F61BE0"/>
    <w:rsid w:val="00F620CC"/>
    <w:rsid w:val="00F62585"/>
    <w:rsid w:val="00F626FD"/>
    <w:rsid w:val="00F630F1"/>
    <w:rsid w:val="00F64C41"/>
    <w:rsid w:val="00F64EBF"/>
    <w:rsid w:val="00F65556"/>
    <w:rsid w:val="00F6753B"/>
    <w:rsid w:val="00F71A14"/>
    <w:rsid w:val="00F71E9A"/>
    <w:rsid w:val="00F73CD5"/>
    <w:rsid w:val="00F7466F"/>
    <w:rsid w:val="00F76DB0"/>
    <w:rsid w:val="00F77564"/>
    <w:rsid w:val="00F7760F"/>
    <w:rsid w:val="00F81004"/>
    <w:rsid w:val="00F81EEE"/>
    <w:rsid w:val="00F8224E"/>
    <w:rsid w:val="00F827CC"/>
    <w:rsid w:val="00F83062"/>
    <w:rsid w:val="00F85123"/>
    <w:rsid w:val="00F869B6"/>
    <w:rsid w:val="00F86E1A"/>
    <w:rsid w:val="00F90F34"/>
    <w:rsid w:val="00F9118C"/>
    <w:rsid w:val="00F9314D"/>
    <w:rsid w:val="00F942F8"/>
    <w:rsid w:val="00F94420"/>
    <w:rsid w:val="00F946D2"/>
    <w:rsid w:val="00F96C9E"/>
    <w:rsid w:val="00F971BB"/>
    <w:rsid w:val="00F9721E"/>
    <w:rsid w:val="00F97233"/>
    <w:rsid w:val="00F97CDE"/>
    <w:rsid w:val="00FA07B7"/>
    <w:rsid w:val="00FA0FC0"/>
    <w:rsid w:val="00FA1484"/>
    <w:rsid w:val="00FA19C0"/>
    <w:rsid w:val="00FA4576"/>
    <w:rsid w:val="00FA4BBA"/>
    <w:rsid w:val="00FA5216"/>
    <w:rsid w:val="00FA5C03"/>
    <w:rsid w:val="00FA5EB1"/>
    <w:rsid w:val="00FB1AB1"/>
    <w:rsid w:val="00FB1E38"/>
    <w:rsid w:val="00FB23C6"/>
    <w:rsid w:val="00FB3A5A"/>
    <w:rsid w:val="00FB3B5F"/>
    <w:rsid w:val="00FB5A74"/>
    <w:rsid w:val="00FB6852"/>
    <w:rsid w:val="00FB6A70"/>
    <w:rsid w:val="00FC0CCA"/>
    <w:rsid w:val="00FC1CE8"/>
    <w:rsid w:val="00FC2450"/>
    <w:rsid w:val="00FC2C69"/>
    <w:rsid w:val="00FC3E4D"/>
    <w:rsid w:val="00FC5F25"/>
    <w:rsid w:val="00FC61D5"/>
    <w:rsid w:val="00FD0A5B"/>
    <w:rsid w:val="00FD3B5F"/>
    <w:rsid w:val="00FD3C43"/>
    <w:rsid w:val="00FD5F3A"/>
    <w:rsid w:val="00FD6303"/>
    <w:rsid w:val="00FD65E0"/>
    <w:rsid w:val="00FD705E"/>
    <w:rsid w:val="00FD72AE"/>
    <w:rsid w:val="00FE21B2"/>
    <w:rsid w:val="00FE2C19"/>
    <w:rsid w:val="00FE2C27"/>
    <w:rsid w:val="00FE50DB"/>
    <w:rsid w:val="00FE5801"/>
    <w:rsid w:val="00FE7D45"/>
    <w:rsid w:val="00FF1A4D"/>
    <w:rsid w:val="00FF3955"/>
    <w:rsid w:val="00FF3EB1"/>
    <w:rsid w:val="00FF6CD0"/>
    <w:rsid w:val="00FF76D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C4E6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CA5"/>
    <w:rPr>
      <w:rFonts w:ascii="Arial" w:hAnsi="Arial"/>
      <w:sz w:val="24"/>
      <w:szCs w:val="24"/>
      <w:lang w:val="en-US" w:eastAsia="en-US"/>
    </w:rPr>
  </w:style>
  <w:style w:type="paragraph" w:styleId="Heading2">
    <w:name w:val="heading 2"/>
    <w:basedOn w:val="Normal"/>
    <w:qFormat/>
    <w:rsid w:val="0032728A"/>
    <w:pPr>
      <w:spacing w:before="100" w:beforeAutospacing="1" w:after="100" w:afterAutospacing="1"/>
      <w:outlineLvl w:val="1"/>
    </w:pPr>
    <w:rPr>
      <w:rFonts w:ascii="Times New Roman" w:hAnsi="Times New Roman"/>
      <w:b/>
      <w:bCs/>
      <w:sz w:val="36"/>
      <w:szCs w:val="36"/>
    </w:rPr>
  </w:style>
  <w:style w:type="paragraph" w:styleId="Heading3">
    <w:name w:val="heading 3"/>
    <w:basedOn w:val="Normal"/>
    <w:qFormat/>
    <w:rsid w:val="00E80AF0"/>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hidden/>
    <w:rsid w:val="00102D77"/>
    <w:pPr>
      <w:pBdr>
        <w:bottom w:val="single" w:sz="6" w:space="1" w:color="auto"/>
      </w:pBdr>
      <w:jc w:val="center"/>
    </w:pPr>
    <w:rPr>
      <w:rFonts w:cs="Arial"/>
      <w:vanish/>
      <w:sz w:val="16"/>
      <w:szCs w:val="16"/>
    </w:rPr>
  </w:style>
  <w:style w:type="paragraph" w:styleId="z-BottomofForm">
    <w:name w:val="HTML Bottom of Form"/>
    <w:basedOn w:val="Normal"/>
    <w:next w:val="Normal"/>
    <w:hidden/>
    <w:rsid w:val="00102D77"/>
    <w:pPr>
      <w:pBdr>
        <w:top w:val="single" w:sz="6" w:space="1" w:color="auto"/>
      </w:pBdr>
      <w:jc w:val="center"/>
    </w:pPr>
    <w:rPr>
      <w:rFonts w:cs="Arial"/>
      <w:vanish/>
      <w:sz w:val="16"/>
      <w:szCs w:val="16"/>
    </w:rPr>
  </w:style>
  <w:style w:type="paragraph" w:styleId="FootnoteText">
    <w:name w:val="footnote text"/>
    <w:basedOn w:val="Normal"/>
    <w:semiHidden/>
    <w:rsid w:val="002F1CEC"/>
    <w:rPr>
      <w:sz w:val="20"/>
      <w:szCs w:val="20"/>
    </w:rPr>
  </w:style>
  <w:style w:type="character" w:styleId="FootnoteReference">
    <w:name w:val="footnote reference"/>
    <w:semiHidden/>
    <w:rsid w:val="002F1CEC"/>
    <w:rPr>
      <w:vertAlign w:val="superscript"/>
    </w:rPr>
  </w:style>
  <w:style w:type="character" w:styleId="CommentReference">
    <w:name w:val="annotation reference"/>
    <w:semiHidden/>
    <w:rsid w:val="0083523A"/>
    <w:rPr>
      <w:sz w:val="16"/>
      <w:szCs w:val="16"/>
    </w:rPr>
  </w:style>
  <w:style w:type="paragraph" w:styleId="CommentText">
    <w:name w:val="annotation text"/>
    <w:basedOn w:val="Normal"/>
    <w:link w:val="CommentTextChar"/>
    <w:semiHidden/>
    <w:rsid w:val="0083523A"/>
    <w:rPr>
      <w:sz w:val="20"/>
      <w:szCs w:val="20"/>
    </w:rPr>
  </w:style>
  <w:style w:type="paragraph" w:styleId="CommentSubject">
    <w:name w:val="annotation subject"/>
    <w:basedOn w:val="CommentText"/>
    <w:next w:val="CommentText"/>
    <w:semiHidden/>
    <w:rsid w:val="0083523A"/>
    <w:rPr>
      <w:b/>
      <w:bCs/>
    </w:rPr>
  </w:style>
  <w:style w:type="paragraph" w:styleId="BalloonText">
    <w:name w:val="Balloon Text"/>
    <w:basedOn w:val="Normal"/>
    <w:semiHidden/>
    <w:rsid w:val="0083523A"/>
    <w:rPr>
      <w:rFonts w:ascii="Tahoma" w:hAnsi="Tahoma"/>
      <w:sz w:val="16"/>
      <w:szCs w:val="16"/>
    </w:rPr>
  </w:style>
  <w:style w:type="table" w:styleId="TableGrid">
    <w:name w:val="Table Grid"/>
    <w:basedOn w:val="TableNormal"/>
    <w:rsid w:val="00512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D26FF"/>
    <w:pPr>
      <w:jc w:val="center"/>
    </w:pPr>
    <w:rPr>
      <w:rFonts w:cs="Arial"/>
      <w:noProof/>
    </w:rPr>
  </w:style>
  <w:style w:type="character" w:customStyle="1" w:styleId="EndNoteBibliographyTitleChar">
    <w:name w:val="EndNote Bibliography Title Char"/>
    <w:basedOn w:val="DefaultParagraphFont"/>
    <w:link w:val="EndNoteBibliographyTitle"/>
    <w:rsid w:val="000D26FF"/>
    <w:rPr>
      <w:rFonts w:ascii="Arial" w:hAnsi="Arial" w:cs="Arial"/>
      <w:noProof/>
      <w:sz w:val="24"/>
      <w:szCs w:val="24"/>
      <w:lang w:val="en-US" w:eastAsia="en-US"/>
    </w:rPr>
  </w:style>
  <w:style w:type="paragraph" w:customStyle="1" w:styleId="EndNoteBibliography">
    <w:name w:val="EndNote Bibliography"/>
    <w:basedOn w:val="Normal"/>
    <w:link w:val="EndNoteBibliographyChar"/>
    <w:rsid w:val="000D26FF"/>
    <w:rPr>
      <w:rFonts w:cs="Arial"/>
      <w:noProof/>
    </w:rPr>
  </w:style>
  <w:style w:type="character" w:customStyle="1" w:styleId="EndNoteBibliographyChar">
    <w:name w:val="EndNote Bibliography Char"/>
    <w:basedOn w:val="DefaultParagraphFont"/>
    <w:link w:val="EndNoteBibliography"/>
    <w:rsid w:val="000D26FF"/>
    <w:rPr>
      <w:rFonts w:ascii="Arial" w:hAnsi="Arial" w:cs="Arial"/>
      <w:noProof/>
      <w:sz w:val="24"/>
      <w:szCs w:val="24"/>
      <w:lang w:val="en-US" w:eastAsia="en-US"/>
    </w:rPr>
  </w:style>
  <w:style w:type="paragraph" w:styleId="Header">
    <w:name w:val="header"/>
    <w:basedOn w:val="Normal"/>
    <w:link w:val="HeaderChar"/>
    <w:uiPriority w:val="99"/>
    <w:unhideWhenUsed/>
    <w:rsid w:val="00362105"/>
    <w:pPr>
      <w:tabs>
        <w:tab w:val="center" w:pos="4680"/>
        <w:tab w:val="right" w:pos="9360"/>
      </w:tabs>
    </w:pPr>
  </w:style>
  <w:style w:type="character" w:customStyle="1" w:styleId="HeaderChar">
    <w:name w:val="Header Char"/>
    <w:basedOn w:val="DefaultParagraphFont"/>
    <w:link w:val="Header"/>
    <w:uiPriority w:val="99"/>
    <w:rsid w:val="00362105"/>
    <w:rPr>
      <w:rFonts w:ascii="Arial" w:hAnsi="Arial"/>
      <w:sz w:val="24"/>
      <w:szCs w:val="24"/>
      <w:lang w:val="en-US" w:eastAsia="en-US"/>
    </w:rPr>
  </w:style>
  <w:style w:type="paragraph" w:styleId="Footer">
    <w:name w:val="footer"/>
    <w:basedOn w:val="Normal"/>
    <w:link w:val="FooterChar"/>
    <w:unhideWhenUsed/>
    <w:rsid w:val="00362105"/>
    <w:pPr>
      <w:tabs>
        <w:tab w:val="center" w:pos="4680"/>
        <w:tab w:val="right" w:pos="9360"/>
      </w:tabs>
    </w:pPr>
  </w:style>
  <w:style w:type="character" w:customStyle="1" w:styleId="FooterChar">
    <w:name w:val="Footer Char"/>
    <w:basedOn w:val="DefaultParagraphFont"/>
    <w:link w:val="Footer"/>
    <w:rsid w:val="00362105"/>
    <w:rPr>
      <w:rFonts w:ascii="Arial" w:hAnsi="Arial"/>
      <w:sz w:val="24"/>
      <w:szCs w:val="24"/>
      <w:lang w:val="en-US" w:eastAsia="en-US"/>
    </w:rPr>
  </w:style>
  <w:style w:type="character" w:styleId="Hyperlink">
    <w:name w:val="Hyperlink"/>
    <w:basedOn w:val="DefaultParagraphFont"/>
    <w:unhideWhenUsed/>
    <w:rsid w:val="009A4D4C"/>
    <w:rPr>
      <w:color w:val="0563C1" w:themeColor="hyperlink"/>
      <w:u w:val="single"/>
    </w:rPr>
  </w:style>
  <w:style w:type="character" w:styleId="UnresolvedMention">
    <w:name w:val="Unresolved Mention"/>
    <w:basedOn w:val="DefaultParagraphFont"/>
    <w:uiPriority w:val="99"/>
    <w:semiHidden/>
    <w:unhideWhenUsed/>
    <w:rsid w:val="009A4D4C"/>
    <w:rPr>
      <w:color w:val="605E5C"/>
      <w:shd w:val="clear" w:color="auto" w:fill="E1DFDD"/>
    </w:rPr>
  </w:style>
  <w:style w:type="paragraph" w:styleId="Revision">
    <w:name w:val="Revision"/>
    <w:hidden/>
    <w:uiPriority w:val="99"/>
    <w:semiHidden/>
    <w:rsid w:val="000843AF"/>
    <w:rPr>
      <w:rFonts w:ascii="Arial" w:hAnsi="Arial"/>
      <w:sz w:val="24"/>
      <w:szCs w:val="24"/>
      <w:lang w:val="en-US" w:eastAsia="en-US"/>
    </w:rPr>
  </w:style>
  <w:style w:type="table" w:customStyle="1" w:styleId="TableGrid1">
    <w:name w:val="Table Grid1"/>
    <w:basedOn w:val="TableNormal"/>
    <w:next w:val="TableGrid"/>
    <w:unhideWhenUsed/>
    <w:rsid w:val="00A14EB8"/>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8D0D25"/>
    <w:rPr>
      <w:color w:val="954F72" w:themeColor="followedHyperlink"/>
      <w:u w:val="single"/>
    </w:rPr>
  </w:style>
  <w:style w:type="character" w:styleId="Emphasis">
    <w:name w:val="Emphasis"/>
    <w:basedOn w:val="DefaultParagraphFont"/>
    <w:uiPriority w:val="20"/>
    <w:qFormat/>
    <w:rsid w:val="00124B45"/>
    <w:rPr>
      <w:i/>
      <w:iCs/>
    </w:rPr>
  </w:style>
  <w:style w:type="character" w:customStyle="1" w:styleId="CommentTextChar">
    <w:name w:val="Comment Text Char"/>
    <w:basedOn w:val="DefaultParagraphFont"/>
    <w:link w:val="CommentText"/>
    <w:semiHidden/>
    <w:rsid w:val="00125141"/>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391">
      <w:bodyDiv w:val="1"/>
      <w:marLeft w:val="0"/>
      <w:marRight w:val="0"/>
      <w:marTop w:val="0"/>
      <w:marBottom w:val="0"/>
      <w:divBdr>
        <w:top w:val="none" w:sz="0" w:space="0" w:color="auto"/>
        <w:left w:val="none" w:sz="0" w:space="0" w:color="auto"/>
        <w:bottom w:val="none" w:sz="0" w:space="0" w:color="auto"/>
        <w:right w:val="none" w:sz="0" w:space="0" w:color="auto"/>
      </w:divBdr>
    </w:div>
    <w:div w:id="26375977">
      <w:bodyDiv w:val="1"/>
      <w:marLeft w:val="0"/>
      <w:marRight w:val="0"/>
      <w:marTop w:val="0"/>
      <w:marBottom w:val="0"/>
      <w:divBdr>
        <w:top w:val="none" w:sz="0" w:space="0" w:color="auto"/>
        <w:left w:val="none" w:sz="0" w:space="0" w:color="auto"/>
        <w:bottom w:val="none" w:sz="0" w:space="0" w:color="auto"/>
        <w:right w:val="none" w:sz="0" w:space="0" w:color="auto"/>
      </w:divBdr>
      <w:divsChild>
        <w:div w:id="522745304">
          <w:marLeft w:val="0"/>
          <w:marRight w:val="0"/>
          <w:marTop w:val="0"/>
          <w:marBottom w:val="0"/>
          <w:divBdr>
            <w:top w:val="none" w:sz="0" w:space="0" w:color="auto"/>
            <w:left w:val="none" w:sz="0" w:space="0" w:color="auto"/>
            <w:bottom w:val="none" w:sz="0" w:space="0" w:color="auto"/>
            <w:right w:val="none" w:sz="0" w:space="0" w:color="auto"/>
          </w:divBdr>
        </w:div>
      </w:divsChild>
    </w:div>
    <w:div w:id="34433448">
      <w:bodyDiv w:val="1"/>
      <w:marLeft w:val="0"/>
      <w:marRight w:val="0"/>
      <w:marTop w:val="0"/>
      <w:marBottom w:val="0"/>
      <w:divBdr>
        <w:top w:val="none" w:sz="0" w:space="0" w:color="auto"/>
        <w:left w:val="none" w:sz="0" w:space="0" w:color="auto"/>
        <w:bottom w:val="none" w:sz="0" w:space="0" w:color="auto"/>
        <w:right w:val="none" w:sz="0" w:space="0" w:color="auto"/>
      </w:divBdr>
      <w:divsChild>
        <w:div w:id="314073512">
          <w:marLeft w:val="0"/>
          <w:marRight w:val="0"/>
          <w:marTop w:val="0"/>
          <w:marBottom w:val="0"/>
          <w:divBdr>
            <w:top w:val="none" w:sz="0" w:space="0" w:color="auto"/>
            <w:left w:val="none" w:sz="0" w:space="0" w:color="auto"/>
            <w:bottom w:val="none" w:sz="0" w:space="0" w:color="auto"/>
            <w:right w:val="none" w:sz="0" w:space="0" w:color="auto"/>
          </w:divBdr>
        </w:div>
      </w:divsChild>
    </w:div>
    <w:div w:id="68313075">
      <w:bodyDiv w:val="1"/>
      <w:marLeft w:val="0"/>
      <w:marRight w:val="0"/>
      <w:marTop w:val="0"/>
      <w:marBottom w:val="0"/>
      <w:divBdr>
        <w:top w:val="none" w:sz="0" w:space="0" w:color="auto"/>
        <w:left w:val="none" w:sz="0" w:space="0" w:color="auto"/>
        <w:bottom w:val="none" w:sz="0" w:space="0" w:color="auto"/>
        <w:right w:val="none" w:sz="0" w:space="0" w:color="auto"/>
      </w:divBdr>
    </w:div>
    <w:div w:id="92212448">
      <w:bodyDiv w:val="1"/>
      <w:marLeft w:val="0"/>
      <w:marRight w:val="0"/>
      <w:marTop w:val="0"/>
      <w:marBottom w:val="0"/>
      <w:divBdr>
        <w:top w:val="none" w:sz="0" w:space="0" w:color="auto"/>
        <w:left w:val="none" w:sz="0" w:space="0" w:color="auto"/>
        <w:bottom w:val="none" w:sz="0" w:space="0" w:color="auto"/>
        <w:right w:val="none" w:sz="0" w:space="0" w:color="auto"/>
      </w:divBdr>
      <w:divsChild>
        <w:div w:id="1915967100">
          <w:marLeft w:val="0"/>
          <w:marRight w:val="0"/>
          <w:marTop w:val="0"/>
          <w:marBottom w:val="0"/>
          <w:divBdr>
            <w:top w:val="none" w:sz="0" w:space="0" w:color="auto"/>
            <w:left w:val="none" w:sz="0" w:space="0" w:color="auto"/>
            <w:bottom w:val="none" w:sz="0" w:space="0" w:color="auto"/>
            <w:right w:val="none" w:sz="0" w:space="0" w:color="auto"/>
          </w:divBdr>
        </w:div>
      </w:divsChild>
    </w:div>
    <w:div w:id="116067572">
      <w:bodyDiv w:val="1"/>
      <w:marLeft w:val="0"/>
      <w:marRight w:val="0"/>
      <w:marTop w:val="0"/>
      <w:marBottom w:val="0"/>
      <w:divBdr>
        <w:top w:val="none" w:sz="0" w:space="0" w:color="auto"/>
        <w:left w:val="none" w:sz="0" w:space="0" w:color="auto"/>
        <w:bottom w:val="none" w:sz="0" w:space="0" w:color="auto"/>
        <w:right w:val="none" w:sz="0" w:space="0" w:color="auto"/>
      </w:divBdr>
      <w:divsChild>
        <w:div w:id="701898774">
          <w:marLeft w:val="0"/>
          <w:marRight w:val="0"/>
          <w:marTop w:val="0"/>
          <w:marBottom w:val="0"/>
          <w:divBdr>
            <w:top w:val="none" w:sz="0" w:space="0" w:color="auto"/>
            <w:left w:val="none" w:sz="0" w:space="0" w:color="auto"/>
            <w:bottom w:val="none" w:sz="0" w:space="0" w:color="auto"/>
            <w:right w:val="none" w:sz="0" w:space="0" w:color="auto"/>
          </w:divBdr>
        </w:div>
        <w:div w:id="965818413">
          <w:marLeft w:val="0"/>
          <w:marRight w:val="0"/>
          <w:marTop w:val="0"/>
          <w:marBottom w:val="0"/>
          <w:divBdr>
            <w:top w:val="none" w:sz="0" w:space="0" w:color="auto"/>
            <w:left w:val="none" w:sz="0" w:space="0" w:color="auto"/>
            <w:bottom w:val="none" w:sz="0" w:space="0" w:color="auto"/>
            <w:right w:val="none" w:sz="0" w:space="0" w:color="auto"/>
          </w:divBdr>
        </w:div>
      </w:divsChild>
    </w:div>
    <w:div w:id="116654442">
      <w:bodyDiv w:val="1"/>
      <w:marLeft w:val="0"/>
      <w:marRight w:val="0"/>
      <w:marTop w:val="0"/>
      <w:marBottom w:val="0"/>
      <w:divBdr>
        <w:top w:val="none" w:sz="0" w:space="0" w:color="auto"/>
        <w:left w:val="none" w:sz="0" w:space="0" w:color="auto"/>
        <w:bottom w:val="none" w:sz="0" w:space="0" w:color="auto"/>
        <w:right w:val="none" w:sz="0" w:space="0" w:color="auto"/>
      </w:divBdr>
      <w:divsChild>
        <w:div w:id="1680081540">
          <w:marLeft w:val="0"/>
          <w:marRight w:val="0"/>
          <w:marTop w:val="0"/>
          <w:marBottom w:val="0"/>
          <w:divBdr>
            <w:top w:val="none" w:sz="0" w:space="0" w:color="auto"/>
            <w:left w:val="none" w:sz="0" w:space="0" w:color="auto"/>
            <w:bottom w:val="none" w:sz="0" w:space="0" w:color="auto"/>
            <w:right w:val="none" w:sz="0" w:space="0" w:color="auto"/>
          </w:divBdr>
        </w:div>
        <w:div w:id="1913537870">
          <w:marLeft w:val="0"/>
          <w:marRight w:val="0"/>
          <w:marTop w:val="0"/>
          <w:marBottom w:val="0"/>
          <w:divBdr>
            <w:top w:val="none" w:sz="0" w:space="0" w:color="auto"/>
            <w:left w:val="none" w:sz="0" w:space="0" w:color="auto"/>
            <w:bottom w:val="none" w:sz="0" w:space="0" w:color="auto"/>
            <w:right w:val="none" w:sz="0" w:space="0" w:color="auto"/>
          </w:divBdr>
        </w:div>
      </w:divsChild>
    </w:div>
    <w:div w:id="128327912">
      <w:bodyDiv w:val="1"/>
      <w:marLeft w:val="0"/>
      <w:marRight w:val="0"/>
      <w:marTop w:val="0"/>
      <w:marBottom w:val="0"/>
      <w:divBdr>
        <w:top w:val="none" w:sz="0" w:space="0" w:color="auto"/>
        <w:left w:val="none" w:sz="0" w:space="0" w:color="auto"/>
        <w:bottom w:val="none" w:sz="0" w:space="0" w:color="auto"/>
        <w:right w:val="none" w:sz="0" w:space="0" w:color="auto"/>
      </w:divBdr>
      <w:divsChild>
        <w:div w:id="883910904">
          <w:marLeft w:val="0"/>
          <w:marRight w:val="0"/>
          <w:marTop w:val="0"/>
          <w:marBottom w:val="0"/>
          <w:divBdr>
            <w:top w:val="none" w:sz="0" w:space="0" w:color="auto"/>
            <w:left w:val="none" w:sz="0" w:space="0" w:color="auto"/>
            <w:bottom w:val="none" w:sz="0" w:space="0" w:color="auto"/>
            <w:right w:val="none" w:sz="0" w:space="0" w:color="auto"/>
          </w:divBdr>
        </w:div>
      </w:divsChild>
    </w:div>
    <w:div w:id="129246134">
      <w:bodyDiv w:val="1"/>
      <w:marLeft w:val="0"/>
      <w:marRight w:val="0"/>
      <w:marTop w:val="0"/>
      <w:marBottom w:val="0"/>
      <w:divBdr>
        <w:top w:val="none" w:sz="0" w:space="0" w:color="auto"/>
        <w:left w:val="none" w:sz="0" w:space="0" w:color="auto"/>
        <w:bottom w:val="none" w:sz="0" w:space="0" w:color="auto"/>
        <w:right w:val="none" w:sz="0" w:space="0" w:color="auto"/>
      </w:divBdr>
      <w:divsChild>
        <w:div w:id="816073">
          <w:marLeft w:val="0"/>
          <w:marRight w:val="0"/>
          <w:marTop w:val="0"/>
          <w:marBottom w:val="0"/>
          <w:divBdr>
            <w:top w:val="none" w:sz="0" w:space="0" w:color="auto"/>
            <w:left w:val="none" w:sz="0" w:space="0" w:color="auto"/>
            <w:bottom w:val="none" w:sz="0" w:space="0" w:color="auto"/>
            <w:right w:val="none" w:sz="0" w:space="0" w:color="auto"/>
          </w:divBdr>
        </w:div>
      </w:divsChild>
    </w:div>
    <w:div w:id="131097509">
      <w:bodyDiv w:val="1"/>
      <w:marLeft w:val="0"/>
      <w:marRight w:val="0"/>
      <w:marTop w:val="0"/>
      <w:marBottom w:val="0"/>
      <w:divBdr>
        <w:top w:val="none" w:sz="0" w:space="0" w:color="auto"/>
        <w:left w:val="none" w:sz="0" w:space="0" w:color="auto"/>
        <w:bottom w:val="none" w:sz="0" w:space="0" w:color="auto"/>
        <w:right w:val="none" w:sz="0" w:space="0" w:color="auto"/>
      </w:divBdr>
      <w:divsChild>
        <w:div w:id="1460027890">
          <w:marLeft w:val="0"/>
          <w:marRight w:val="0"/>
          <w:marTop w:val="0"/>
          <w:marBottom w:val="0"/>
          <w:divBdr>
            <w:top w:val="none" w:sz="0" w:space="0" w:color="auto"/>
            <w:left w:val="none" w:sz="0" w:space="0" w:color="auto"/>
            <w:bottom w:val="none" w:sz="0" w:space="0" w:color="auto"/>
            <w:right w:val="none" w:sz="0" w:space="0" w:color="auto"/>
          </w:divBdr>
        </w:div>
      </w:divsChild>
    </w:div>
    <w:div w:id="190798620">
      <w:bodyDiv w:val="1"/>
      <w:marLeft w:val="0"/>
      <w:marRight w:val="0"/>
      <w:marTop w:val="0"/>
      <w:marBottom w:val="0"/>
      <w:divBdr>
        <w:top w:val="none" w:sz="0" w:space="0" w:color="auto"/>
        <w:left w:val="none" w:sz="0" w:space="0" w:color="auto"/>
        <w:bottom w:val="none" w:sz="0" w:space="0" w:color="auto"/>
        <w:right w:val="none" w:sz="0" w:space="0" w:color="auto"/>
      </w:divBdr>
      <w:divsChild>
        <w:div w:id="127431935">
          <w:marLeft w:val="0"/>
          <w:marRight w:val="0"/>
          <w:marTop w:val="0"/>
          <w:marBottom w:val="0"/>
          <w:divBdr>
            <w:top w:val="none" w:sz="0" w:space="0" w:color="auto"/>
            <w:left w:val="none" w:sz="0" w:space="0" w:color="auto"/>
            <w:bottom w:val="none" w:sz="0" w:space="0" w:color="auto"/>
            <w:right w:val="none" w:sz="0" w:space="0" w:color="auto"/>
          </w:divBdr>
        </w:div>
      </w:divsChild>
    </w:div>
    <w:div w:id="195780154">
      <w:bodyDiv w:val="1"/>
      <w:marLeft w:val="0"/>
      <w:marRight w:val="0"/>
      <w:marTop w:val="0"/>
      <w:marBottom w:val="0"/>
      <w:divBdr>
        <w:top w:val="none" w:sz="0" w:space="0" w:color="auto"/>
        <w:left w:val="none" w:sz="0" w:space="0" w:color="auto"/>
        <w:bottom w:val="none" w:sz="0" w:space="0" w:color="auto"/>
        <w:right w:val="none" w:sz="0" w:space="0" w:color="auto"/>
      </w:divBdr>
    </w:div>
    <w:div w:id="221138650">
      <w:bodyDiv w:val="1"/>
      <w:marLeft w:val="0"/>
      <w:marRight w:val="0"/>
      <w:marTop w:val="0"/>
      <w:marBottom w:val="0"/>
      <w:divBdr>
        <w:top w:val="none" w:sz="0" w:space="0" w:color="auto"/>
        <w:left w:val="none" w:sz="0" w:space="0" w:color="auto"/>
        <w:bottom w:val="none" w:sz="0" w:space="0" w:color="auto"/>
        <w:right w:val="none" w:sz="0" w:space="0" w:color="auto"/>
      </w:divBdr>
      <w:divsChild>
        <w:div w:id="953907422">
          <w:marLeft w:val="0"/>
          <w:marRight w:val="0"/>
          <w:marTop w:val="0"/>
          <w:marBottom w:val="0"/>
          <w:divBdr>
            <w:top w:val="none" w:sz="0" w:space="0" w:color="auto"/>
            <w:left w:val="none" w:sz="0" w:space="0" w:color="auto"/>
            <w:bottom w:val="none" w:sz="0" w:space="0" w:color="auto"/>
            <w:right w:val="none" w:sz="0" w:space="0" w:color="auto"/>
          </w:divBdr>
        </w:div>
      </w:divsChild>
    </w:div>
    <w:div w:id="271136766">
      <w:bodyDiv w:val="1"/>
      <w:marLeft w:val="0"/>
      <w:marRight w:val="0"/>
      <w:marTop w:val="0"/>
      <w:marBottom w:val="0"/>
      <w:divBdr>
        <w:top w:val="none" w:sz="0" w:space="0" w:color="auto"/>
        <w:left w:val="none" w:sz="0" w:space="0" w:color="auto"/>
        <w:bottom w:val="none" w:sz="0" w:space="0" w:color="auto"/>
        <w:right w:val="none" w:sz="0" w:space="0" w:color="auto"/>
      </w:divBdr>
      <w:divsChild>
        <w:div w:id="1813331923">
          <w:marLeft w:val="0"/>
          <w:marRight w:val="0"/>
          <w:marTop w:val="0"/>
          <w:marBottom w:val="0"/>
          <w:divBdr>
            <w:top w:val="none" w:sz="0" w:space="0" w:color="auto"/>
            <w:left w:val="none" w:sz="0" w:space="0" w:color="auto"/>
            <w:bottom w:val="none" w:sz="0" w:space="0" w:color="auto"/>
            <w:right w:val="none" w:sz="0" w:space="0" w:color="auto"/>
          </w:divBdr>
        </w:div>
      </w:divsChild>
    </w:div>
    <w:div w:id="274555642">
      <w:bodyDiv w:val="1"/>
      <w:marLeft w:val="0"/>
      <w:marRight w:val="0"/>
      <w:marTop w:val="0"/>
      <w:marBottom w:val="0"/>
      <w:divBdr>
        <w:top w:val="none" w:sz="0" w:space="0" w:color="auto"/>
        <w:left w:val="none" w:sz="0" w:space="0" w:color="auto"/>
        <w:bottom w:val="none" w:sz="0" w:space="0" w:color="auto"/>
        <w:right w:val="none" w:sz="0" w:space="0" w:color="auto"/>
      </w:divBdr>
      <w:divsChild>
        <w:div w:id="1694308607">
          <w:marLeft w:val="0"/>
          <w:marRight w:val="0"/>
          <w:marTop w:val="0"/>
          <w:marBottom w:val="0"/>
          <w:divBdr>
            <w:top w:val="none" w:sz="0" w:space="0" w:color="auto"/>
            <w:left w:val="none" w:sz="0" w:space="0" w:color="auto"/>
            <w:bottom w:val="none" w:sz="0" w:space="0" w:color="auto"/>
            <w:right w:val="none" w:sz="0" w:space="0" w:color="auto"/>
          </w:divBdr>
        </w:div>
        <w:div w:id="2036615664">
          <w:marLeft w:val="0"/>
          <w:marRight w:val="0"/>
          <w:marTop w:val="0"/>
          <w:marBottom w:val="0"/>
          <w:divBdr>
            <w:top w:val="none" w:sz="0" w:space="0" w:color="auto"/>
            <w:left w:val="none" w:sz="0" w:space="0" w:color="auto"/>
            <w:bottom w:val="none" w:sz="0" w:space="0" w:color="auto"/>
            <w:right w:val="none" w:sz="0" w:space="0" w:color="auto"/>
          </w:divBdr>
        </w:div>
      </w:divsChild>
    </w:div>
    <w:div w:id="275144294">
      <w:bodyDiv w:val="1"/>
      <w:marLeft w:val="0"/>
      <w:marRight w:val="0"/>
      <w:marTop w:val="0"/>
      <w:marBottom w:val="0"/>
      <w:divBdr>
        <w:top w:val="none" w:sz="0" w:space="0" w:color="auto"/>
        <w:left w:val="none" w:sz="0" w:space="0" w:color="auto"/>
        <w:bottom w:val="none" w:sz="0" w:space="0" w:color="auto"/>
        <w:right w:val="none" w:sz="0" w:space="0" w:color="auto"/>
      </w:divBdr>
      <w:divsChild>
        <w:div w:id="686636851">
          <w:marLeft w:val="0"/>
          <w:marRight w:val="0"/>
          <w:marTop w:val="0"/>
          <w:marBottom w:val="0"/>
          <w:divBdr>
            <w:top w:val="none" w:sz="0" w:space="0" w:color="auto"/>
            <w:left w:val="none" w:sz="0" w:space="0" w:color="auto"/>
            <w:bottom w:val="none" w:sz="0" w:space="0" w:color="auto"/>
            <w:right w:val="none" w:sz="0" w:space="0" w:color="auto"/>
          </w:divBdr>
        </w:div>
      </w:divsChild>
    </w:div>
    <w:div w:id="275916455">
      <w:bodyDiv w:val="1"/>
      <w:marLeft w:val="0"/>
      <w:marRight w:val="0"/>
      <w:marTop w:val="0"/>
      <w:marBottom w:val="0"/>
      <w:divBdr>
        <w:top w:val="none" w:sz="0" w:space="0" w:color="auto"/>
        <w:left w:val="none" w:sz="0" w:space="0" w:color="auto"/>
        <w:bottom w:val="none" w:sz="0" w:space="0" w:color="auto"/>
        <w:right w:val="none" w:sz="0" w:space="0" w:color="auto"/>
      </w:divBdr>
      <w:divsChild>
        <w:div w:id="1153791378">
          <w:marLeft w:val="0"/>
          <w:marRight w:val="0"/>
          <w:marTop w:val="0"/>
          <w:marBottom w:val="0"/>
          <w:divBdr>
            <w:top w:val="none" w:sz="0" w:space="0" w:color="auto"/>
            <w:left w:val="none" w:sz="0" w:space="0" w:color="auto"/>
            <w:bottom w:val="none" w:sz="0" w:space="0" w:color="auto"/>
            <w:right w:val="none" w:sz="0" w:space="0" w:color="auto"/>
          </w:divBdr>
        </w:div>
      </w:divsChild>
    </w:div>
    <w:div w:id="286745948">
      <w:bodyDiv w:val="1"/>
      <w:marLeft w:val="0"/>
      <w:marRight w:val="0"/>
      <w:marTop w:val="0"/>
      <w:marBottom w:val="0"/>
      <w:divBdr>
        <w:top w:val="none" w:sz="0" w:space="0" w:color="auto"/>
        <w:left w:val="none" w:sz="0" w:space="0" w:color="auto"/>
        <w:bottom w:val="none" w:sz="0" w:space="0" w:color="auto"/>
        <w:right w:val="none" w:sz="0" w:space="0" w:color="auto"/>
      </w:divBdr>
    </w:div>
    <w:div w:id="298800469">
      <w:bodyDiv w:val="1"/>
      <w:marLeft w:val="0"/>
      <w:marRight w:val="0"/>
      <w:marTop w:val="0"/>
      <w:marBottom w:val="0"/>
      <w:divBdr>
        <w:top w:val="none" w:sz="0" w:space="0" w:color="auto"/>
        <w:left w:val="none" w:sz="0" w:space="0" w:color="auto"/>
        <w:bottom w:val="none" w:sz="0" w:space="0" w:color="auto"/>
        <w:right w:val="none" w:sz="0" w:space="0" w:color="auto"/>
      </w:divBdr>
      <w:divsChild>
        <w:div w:id="1510023544">
          <w:marLeft w:val="0"/>
          <w:marRight w:val="0"/>
          <w:marTop w:val="0"/>
          <w:marBottom w:val="0"/>
          <w:divBdr>
            <w:top w:val="none" w:sz="0" w:space="0" w:color="auto"/>
            <w:left w:val="none" w:sz="0" w:space="0" w:color="auto"/>
            <w:bottom w:val="none" w:sz="0" w:space="0" w:color="auto"/>
            <w:right w:val="none" w:sz="0" w:space="0" w:color="auto"/>
          </w:divBdr>
        </w:div>
      </w:divsChild>
    </w:div>
    <w:div w:id="302125136">
      <w:bodyDiv w:val="1"/>
      <w:marLeft w:val="0"/>
      <w:marRight w:val="0"/>
      <w:marTop w:val="0"/>
      <w:marBottom w:val="0"/>
      <w:divBdr>
        <w:top w:val="none" w:sz="0" w:space="0" w:color="auto"/>
        <w:left w:val="none" w:sz="0" w:space="0" w:color="auto"/>
        <w:bottom w:val="none" w:sz="0" w:space="0" w:color="auto"/>
        <w:right w:val="none" w:sz="0" w:space="0" w:color="auto"/>
      </w:divBdr>
      <w:divsChild>
        <w:div w:id="1708338670">
          <w:marLeft w:val="0"/>
          <w:marRight w:val="0"/>
          <w:marTop w:val="0"/>
          <w:marBottom w:val="0"/>
          <w:divBdr>
            <w:top w:val="none" w:sz="0" w:space="0" w:color="auto"/>
            <w:left w:val="none" w:sz="0" w:space="0" w:color="auto"/>
            <w:bottom w:val="none" w:sz="0" w:space="0" w:color="auto"/>
            <w:right w:val="none" w:sz="0" w:space="0" w:color="auto"/>
          </w:divBdr>
        </w:div>
      </w:divsChild>
    </w:div>
    <w:div w:id="311913893">
      <w:bodyDiv w:val="1"/>
      <w:marLeft w:val="0"/>
      <w:marRight w:val="0"/>
      <w:marTop w:val="0"/>
      <w:marBottom w:val="0"/>
      <w:divBdr>
        <w:top w:val="none" w:sz="0" w:space="0" w:color="auto"/>
        <w:left w:val="none" w:sz="0" w:space="0" w:color="auto"/>
        <w:bottom w:val="none" w:sz="0" w:space="0" w:color="auto"/>
        <w:right w:val="none" w:sz="0" w:space="0" w:color="auto"/>
      </w:divBdr>
    </w:div>
    <w:div w:id="335964728">
      <w:bodyDiv w:val="1"/>
      <w:marLeft w:val="0"/>
      <w:marRight w:val="0"/>
      <w:marTop w:val="0"/>
      <w:marBottom w:val="0"/>
      <w:divBdr>
        <w:top w:val="none" w:sz="0" w:space="0" w:color="auto"/>
        <w:left w:val="none" w:sz="0" w:space="0" w:color="auto"/>
        <w:bottom w:val="none" w:sz="0" w:space="0" w:color="auto"/>
        <w:right w:val="none" w:sz="0" w:space="0" w:color="auto"/>
      </w:divBdr>
      <w:divsChild>
        <w:div w:id="876308134">
          <w:marLeft w:val="0"/>
          <w:marRight w:val="0"/>
          <w:marTop w:val="0"/>
          <w:marBottom w:val="0"/>
          <w:divBdr>
            <w:top w:val="none" w:sz="0" w:space="0" w:color="auto"/>
            <w:left w:val="none" w:sz="0" w:space="0" w:color="auto"/>
            <w:bottom w:val="none" w:sz="0" w:space="0" w:color="auto"/>
            <w:right w:val="none" w:sz="0" w:space="0" w:color="auto"/>
          </w:divBdr>
        </w:div>
      </w:divsChild>
    </w:div>
    <w:div w:id="351498649">
      <w:bodyDiv w:val="1"/>
      <w:marLeft w:val="0"/>
      <w:marRight w:val="0"/>
      <w:marTop w:val="0"/>
      <w:marBottom w:val="0"/>
      <w:divBdr>
        <w:top w:val="none" w:sz="0" w:space="0" w:color="auto"/>
        <w:left w:val="none" w:sz="0" w:space="0" w:color="auto"/>
        <w:bottom w:val="none" w:sz="0" w:space="0" w:color="auto"/>
        <w:right w:val="none" w:sz="0" w:space="0" w:color="auto"/>
      </w:divBdr>
      <w:divsChild>
        <w:div w:id="1626884078">
          <w:marLeft w:val="0"/>
          <w:marRight w:val="0"/>
          <w:marTop w:val="0"/>
          <w:marBottom w:val="0"/>
          <w:divBdr>
            <w:top w:val="none" w:sz="0" w:space="0" w:color="auto"/>
            <w:left w:val="none" w:sz="0" w:space="0" w:color="auto"/>
            <w:bottom w:val="none" w:sz="0" w:space="0" w:color="auto"/>
            <w:right w:val="none" w:sz="0" w:space="0" w:color="auto"/>
          </w:divBdr>
        </w:div>
      </w:divsChild>
    </w:div>
    <w:div w:id="365057934">
      <w:bodyDiv w:val="1"/>
      <w:marLeft w:val="0"/>
      <w:marRight w:val="0"/>
      <w:marTop w:val="0"/>
      <w:marBottom w:val="0"/>
      <w:divBdr>
        <w:top w:val="none" w:sz="0" w:space="0" w:color="auto"/>
        <w:left w:val="none" w:sz="0" w:space="0" w:color="auto"/>
        <w:bottom w:val="none" w:sz="0" w:space="0" w:color="auto"/>
        <w:right w:val="none" w:sz="0" w:space="0" w:color="auto"/>
      </w:divBdr>
      <w:divsChild>
        <w:div w:id="43139067">
          <w:marLeft w:val="0"/>
          <w:marRight w:val="0"/>
          <w:marTop w:val="0"/>
          <w:marBottom w:val="0"/>
          <w:divBdr>
            <w:top w:val="none" w:sz="0" w:space="0" w:color="auto"/>
            <w:left w:val="none" w:sz="0" w:space="0" w:color="auto"/>
            <w:bottom w:val="none" w:sz="0" w:space="0" w:color="auto"/>
            <w:right w:val="none" w:sz="0" w:space="0" w:color="auto"/>
          </w:divBdr>
        </w:div>
        <w:div w:id="300113871">
          <w:marLeft w:val="0"/>
          <w:marRight w:val="0"/>
          <w:marTop w:val="0"/>
          <w:marBottom w:val="0"/>
          <w:divBdr>
            <w:top w:val="none" w:sz="0" w:space="0" w:color="auto"/>
            <w:left w:val="none" w:sz="0" w:space="0" w:color="auto"/>
            <w:bottom w:val="none" w:sz="0" w:space="0" w:color="auto"/>
            <w:right w:val="none" w:sz="0" w:space="0" w:color="auto"/>
          </w:divBdr>
        </w:div>
        <w:div w:id="450560386">
          <w:marLeft w:val="0"/>
          <w:marRight w:val="0"/>
          <w:marTop w:val="0"/>
          <w:marBottom w:val="0"/>
          <w:divBdr>
            <w:top w:val="none" w:sz="0" w:space="0" w:color="auto"/>
            <w:left w:val="none" w:sz="0" w:space="0" w:color="auto"/>
            <w:bottom w:val="none" w:sz="0" w:space="0" w:color="auto"/>
            <w:right w:val="none" w:sz="0" w:space="0" w:color="auto"/>
          </w:divBdr>
        </w:div>
        <w:div w:id="472601877">
          <w:marLeft w:val="0"/>
          <w:marRight w:val="0"/>
          <w:marTop w:val="0"/>
          <w:marBottom w:val="0"/>
          <w:divBdr>
            <w:top w:val="none" w:sz="0" w:space="0" w:color="auto"/>
            <w:left w:val="none" w:sz="0" w:space="0" w:color="auto"/>
            <w:bottom w:val="none" w:sz="0" w:space="0" w:color="auto"/>
            <w:right w:val="none" w:sz="0" w:space="0" w:color="auto"/>
          </w:divBdr>
        </w:div>
        <w:div w:id="1727560059">
          <w:marLeft w:val="0"/>
          <w:marRight w:val="0"/>
          <w:marTop w:val="0"/>
          <w:marBottom w:val="0"/>
          <w:divBdr>
            <w:top w:val="none" w:sz="0" w:space="0" w:color="auto"/>
            <w:left w:val="none" w:sz="0" w:space="0" w:color="auto"/>
            <w:bottom w:val="none" w:sz="0" w:space="0" w:color="auto"/>
            <w:right w:val="none" w:sz="0" w:space="0" w:color="auto"/>
          </w:divBdr>
        </w:div>
      </w:divsChild>
    </w:div>
    <w:div w:id="380984824">
      <w:bodyDiv w:val="1"/>
      <w:marLeft w:val="0"/>
      <w:marRight w:val="0"/>
      <w:marTop w:val="0"/>
      <w:marBottom w:val="0"/>
      <w:divBdr>
        <w:top w:val="none" w:sz="0" w:space="0" w:color="auto"/>
        <w:left w:val="none" w:sz="0" w:space="0" w:color="auto"/>
        <w:bottom w:val="none" w:sz="0" w:space="0" w:color="auto"/>
        <w:right w:val="none" w:sz="0" w:space="0" w:color="auto"/>
      </w:divBdr>
      <w:divsChild>
        <w:div w:id="2049180396">
          <w:marLeft w:val="0"/>
          <w:marRight w:val="0"/>
          <w:marTop w:val="0"/>
          <w:marBottom w:val="0"/>
          <w:divBdr>
            <w:top w:val="none" w:sz="0" w:space="0" w:color="auto"/>
            <w:left w:val="none" w:sz="0" w:space="0" w:color="auto"/>
            <w:bottom w:val="none" w:sz="0" w:space="0" w:color="auto"/>
            <w:right w:val="none" w:sz="0" w:space="0" w:color="auto"/>
          </w:divBdr>
        </w:div>
      </w:divsChild>
    </w:div>
    <w:div w:id="406342761">
      <w:bodyDiv w:val="1"/>
      <w:marLeft w:val="0"/>
      <w:marRight w:val="0"/>
      <w:marTop w:val="0"/>
      <w:marBottom w:val="0"/>
      <w:divBdr>
        <w:top w:val="none" w:sz="0" w:space="0" w:color="auto"/>
        <w:left w:val="none" w:sz="0" w:space="0" w:color="auto"/>
        <w:bottom w:val="none" w:sz="0" w:space="0" w:color="auto"/>
        <w:right w:val="none" w:sz="0" w:space="0" w:color="auto"/>
      </w:divBdr>
    </w:div>
    <w:div w:id="416363318">
      <w:bodyDiv w:val="1"/>
      <w:marLeft w:val="0"/>
      <w:marRight w:val="0"/>
      <w:marTop w:val="0"/>
      <w:marBottom w:val="0"/>
      <w:divBdr>
        <w:top w:val="none" w:sz="0" w:space="0" w:color="auto"/>
        <w:left w:val="none" w:sz="0" w:space="0" w:color="auto"/>
        <w:bottom w:val="none" w:sz="0" w:space="0" w:color="auto"/>
        <w:right w:val="none" w:sz="0" w:space="0" w:color="auto"/>
      </w:divBdr>
    </w:div>
    <w:div w:id="427508880">
      <w:bodyDiv w:val="1"/>
      <w:marLeft w:val="0"/>
      <w:marRight w:val="0"/>
      <w:marTop w:val="0"/>
      <w:marBottom w:val="0"/>
      <w:divBdr>
        <w:top w:val="none" w:sz="0" w:space="0" w:color="auto"/>
        <w:left w:val="none" w:sz="0" w:space="0" w:color="auto"/>
        <w:bottom w:val="none" w:sz="0" w:space="0" w:color="auto"/>
        <w:right w:val="none" w:sz="0" w:space="0" w:color="auto"/>
      </w:divBdr>
      <w:divsChild>
        <w:div w:id="2006778944">
          <w:marLeft w:val="0"/>
          <w:marRight w:val="0"/>
          <w:marTop w:val="0"/>
          <w:marBottom w:val="0"/>
          <w:divBdr>
            <w:top w:val="none" w:sz="0" w:space="0" w:color="auto"/>
            <w:left w:val="none" w:sz="0" w:space="0" w:color="auto"/>
            <w:bottom w:val="none" w:sz="0" w:space="0" w:color="auto"/>
            <w:right w:val="none" w:sz="0" w:space="0" w:color="auto"/>
          </w:divBdr>
        </w:div>
      </w:divsChild>
    </w:div>
    <w:div w:id="428165598">
      <w:bodyDiv w:val="1"/>
      <w:marLeft w:val="0"/>
      <w:marRight w:val="0"/>
      <w:marTop w:val="0"/>
      <w:marBottom w:val="0"/>
      <w:divBdr>
        <w:top w:val="none" w:sz="0" w:space="0" w:color="auto"/>
        <w:left w:val="none" w:sz="0" w:space="0" w:color="auto"/>
        <w:bottom w:val="none" w:sz="0" w:space="0" w:color="auto"/>
        <w:right w:val="none" w:sz="0" w:space="0" w:color="auto"/>
      </w:divBdr>
      <w:divsChild>
        <w:div w:id="399789289">
          <w:marLeft w:val="0"/>
          <w:marRight w:val="0"/>
          <w:marTop w:val="0"/>
          <w:marBottom w:val="0"/>
          <w:divBdr>
            <w:top w:val="none" w:sz="0" w:space="0" w:color="auto"/>
            <w:left w:val="none" w:sz="0" w:space="0" w:color="auto"/>
            <w:bottom w:val="none" w:sz="0" w:space="0" w:color="auto"/>
            <w:right w:val="none" w:sz="0" w:space="0" w:color="auto"/>
          </w:divBdr>
        </w:div>
      </w:divsChild>
    </w:div>
    <w:div w:id="429161420">
      <w:bodyDiv w:val="1"/>
      <w:marLeft w:val="0"/>
      <w:marRight w:val="0"/>
      <w:marTop w:val="0"/>
      <w:marBottom w:val="0"/>
      <w:divBdr>
        <w:top w:val="none" w:sz="0" w:space="0" w:color="auto"/>
        <w:left w:val="none" w:sz="0" w:space="0" w:color="auto"/>
        <w:bottom w:val="none" w:sz="0" w:space="0" w:color="auto"/>
        <w:right w:val="none" w:sz="0" w:space="0" w:color="auto"/>
      </w:divBdr>
      <w:divsChild>
        <w:div w:id="12810476">
          <w:marLeft w:val="0"/>
          <w:marRight w:val="0"/>
          <w:marTop w:val="0"/>
          <w:marBottom w:val="0"/>
          <w:divBdr>
            <w:top w:val="none" w:sz="0" w:space="0" w:color="auto"/>
            <w:left w:val="none" w:sz="0" w:space="0" w:color="auto"/>
            <w:bottom w:val="none" w:sz="0" w:space="0" w:color="auto"/>
            <w:right w:val="none" w:sz="0" w:space="0" w:color="auto"/>
          </w:divBdr>
        </w:div>
        <w:div w:id="1831628751">
          <w:marLeft w:val="0"/>
          <w:marRight w:val="0"/>
          <w:marTop w:val="0"/>
          <w:marBottom w:val="0"/>
          <w:divBdr>
            <w:top w:val="none" w:sz="0" w:space="0" w:color="auto"/>
            <w:left w:val="none" w:sz="0" w:space="0" w:color="auto"/>
            <w:bottom w:val="none" w:sz="0" w:space="0" w:color="auto"/>
            <w:right w:val="none" w:sz="0" w:space="0" w:color="auto"/>
          </w:divBdr>
        </w:div>
      </w:divsChild>
    </w:div>
    <w:div w:id="437408261">
      <w:bodyDiv w:val="1"/>
      <w:marLeft w:val="0"/>
      <w:marRight w:val="0"/>
      <w:marTop w:val="0"/>
      <w:marBottom w:val="0"/>
      <w:divBdr>
        <w:top w:val="none" w:sz="0" w:space="0" w:color="auto"/>
        <w:left w:val="none" w:sz="0" w:space="0" w:color="auto"/>
        <w:bottom w:val="none" w:sz="0" w:space="0" w:color="auto"/>
        <w:right w:val="none" w:sz="0" w:space="0" w:color="auto"/>
      </w:divBdr>
      <w:divsChild>
        <w:div w:id="1052188855">
          <w:marLeft w:val="0"/>
          <w:marRight w:val="0"/>
          <w:marTop w:val="0"/>
          <w:marBottom w:val="0"/>
          <w:divBdr>
            <w:top w:val="none" w:sz="0" w:space="0" w:color="auto"/>
            <w:left w:val="none" w:sz="0" w:space="0" w:color="auto"/>
            <w:bottom w:val="none" w:sz="0" w:space="0" w:color="auto"/>
            <w:right w:val="none" w:sz="0" w:space="0" w:color="auto"/>
          </w:divBdr>
        </w:div>
      </w:divsChild>
    </w:div>
    <w:div w:id="446854815">
      <w:bodyDiv w:val="1"/>
      <w:marLeft w:val="0"/>
      <w:marRight w:val="0"/>
      <w:marTop w:val="0"/>
      <w:marBottom w:val="0"/>
      <w:divBdr>
        <w:top w:val="none" w:sz="0" w:space="0" w:color="auto"/>
        <w:left w:val="none" w:sz="0" w:space="0" w:color="auto"/>
        <w:bottom w:val="none" w:sz="0" w:space="0" w:color="auto"/>
        <w:right w:val="none" w:sz="0" w:space="0" w:color="auto"/>
      </w:divBdr>
      <w:divsChild>
        <w:div w:id="1648242865">
          <w:marLeft w:val="0"/>
          <w:marRight w:val="0"/>
          <w:marTop w:val="0"/>
          <w:marBottom w:val="0"/>
          <w:divBdr>
            <w:top w:val="none" w:sz="0" w:space="0" w:color="auto"/>
            <w:left w:val="none" w:sz="0" w:space="0" w:color="auto"/>
            <w:bottom w:val="none" w:sz="0" w:space="0" w:color="auto"/>
            <w:right w:val="none" w:sz="0" w:space="0" w:color="auto"/>
          </w:divBdr>
        </w:div>
      </w:divsChild>
    </w:div>
    <w:div w:id="448814055">
      <w:bodyDiv w:val="1"/>
      <w:marLeft w:val="0"/>
      <w:marRight w:val="0"/>
      <w:marTop w:val="0"/>
      <w:marBottom w:val="0"/>
      <w:divBdr>
        <w:top w:val="none" w:sz="0" w:space="0" w:color="auto"/>
        <w:left w:val="none" w:sz="0" w:space="0" w:color="auto"/>
        <w:bottom w:val="none" w:sz="0" w:space="0" w:color="auto"/>
        <w:right w:val="none" w:sz="0" w:space="0" w:color="auto"/>
      </w:divBdr>
    </w:div>
    <w:div w:id="450898912">
      <w:bodyDiv w:val="1"/>
      <w:marLeft w:val="0"/>
      <w:marRight w:val="0"/>
      <w:marTop w:val="0"/>
      <w:marBottom w:val="0"/>
      <w:divBdr>
        <w:top w:val="none" w:sz="0" w:space="0" w:color="auto"/>
        <w:left w:val="none" w:sz="0" w:space="0" w:color="auto"/>
        <w:bottom w:val="none" w:sz="0" w:space="0" w:color="auto"/>
        <w:right w:val="none" w:sz="0" w:space="0" w:color="auto"/>
      </w:divBdr>
    </w:div>
    <w:div w:id="495417115">
      <w:bodyDiv w:val="1"/>
      <w:marLeft w:val="0"/>
      <w:marRight w:val="0"/>
      <w:marTop w:val="0"/>
      <w:marBottom w:val="0"/>
      <w:divBdr>
        <w:top w:val="none" w:sz="0" w:space="0" w:color="auto"/>
        <w:left w:val="none" w:sz="0" w:space="0" w:color="auto"/>
        <w:bottom w:val="none" w:sz="0" w:space="0" w:color="auto"/>
        <w:right w:val="none" w:sz="0" w:space="0" w:color="auto"/>
      </w:divBdr>
    </w:div>
    <w:div w:id="507912657">
      <w:bodyDiv w:val="1"/>
      <w:marLeft w:val="0"/>
      <w:marRight w:val="0"/>
      <w:marTop w:val="0"/>
      <w:marBottom w:val="0"/>
      <w:divBdr>
        <w:top w:val="none" w:sz="0" w:space="0" w:color="auto"/>
        <w:left w:val="none" w:sz="0" w:space="0" w:color="auto"/>
        <w:bottom w:val="none" w:sz="0" w:space="0" w:color="auto"/>
        <w:right w:val="none" w:sz="0" w:space="0" w:color="auto"/>
      </w:divBdr>
    </w:div>
    <w:div w:id="508836717">
      <w:bodyDiv w:val="1"/>
      <w:marLeft w:val="0"/>
      <w:marRight w:val="0"/>
      <w:marTop w:val="0"/>
      <w:marBottom w:val="0"/>
      <w:divBdr>
        <w:top w:val="none" w:sz="0" w:space="0" w:color="auto"/>
        <w:left w:val="none" w:sz="0" w:space="0" w:color="auto"/>
        <w:bottom w:val="none" w:sz="0" w:space="0" w:color="auto"/>
        <w:right w:val="none" w:sz="0" w:space="0" w:color="auto"/>
      </w:divBdr>
      <w:divsChild>
        <w:div w:id="2002075033">
          <w:marLeft w:val="0"/>
          <w:marRight w:val="0"/>
          <w:marTop w:val="0"/>
          <w:marBottom w:val="0"/>
          <w:divBdr>
            <w:top w:val="none" w:sz="0" w:space="0" w:color="auto"/>
            <w:left w:val="none" w:sz="0" w:space="0" w:color="auto"/>
            <w:bottom w:val="none" w:sz="0" w:space="0" w:color="auto"/>
            <w:right w:val="none" w:sz="0" w:space="0" w:color="auto"/>
          </w:divBdr>
        </w:div>
      </w:divsChild>
    </w:div>
    <w:div w:id="519245754">
      <w:bodyDiv w:val="1"/>
      <w:marLeft w:val="0"/>
      <w:marRight w:val="0"/>
      <w:marTop w:val="0"/>
      <w:marBottom w:val="0"/>
      <w:divBdr>
        <w:top w:val="none" w:sz="0" w:space="0" w:color="auto"/>
        <w:left w:val="none" w:sz="0" w:space="0" w:color="auto"/>
        <w:bottom w:val="none" w:sz="0" w:space="0" w:color="auto"/>
        <w:right w:val="none" w:sz="0" w:space="0" w:color="auto"/>
      </w:divBdr>
      <w:divsChild>
        <w:div w:id="323969488">
          <w:marLeft w:val="0"/>
          <w:marRight w:val="0"/>
          <w:marTop w:val="0"/>
          <w:marBottom w:val="0"/>
          <w:divBdr>
            <w:top w:val="none" w:sz="0" w:space="0" w:color="auto"/>
            <w:left w:val="none" w:sz="0" w:space="0" w:color="auto"/>
            <w:bottom w:val="none" w:sz="0" w:space="0" w:color="auto"/>
            <w:right w:val="none" w:sz="0" w:space="0" w:color="auto"/>
          </w:divBdr>
        </w:div>
        <w:div w:id="541135547">
          <w:marLeft w:val="0"/>
          <w:marRight w:val="0"/>
          <w:marTop w:val="0"/>
          <w:marBottom w:val="0"/>
          <w:divBdr>
            <w:top w:val="none" w:sz="0" w:space="0" w:color="auto"/>
            <w:left w:val="none" w:sz="0" w:space="0" w:color="auto"/>
            <w:bottom w:val="none" w:sz="0" w:space="0" w:color="auto"/>
            <w:right w:val="none" w:sz="0" w:space="0" w:color="auto"/>
          </w:divBdr>
        </w:div>
      </w:divsChild>
    </w:div>
    <w:div w:id="525799108">
      <w:bodyDiv w:val="1"/>
      <w:marLeft w:val="0"/>
      <w:marRight w:val="0"/>
      <w:marTop w:val="0"/>
      <w:marBottom w:val="0"/>
      <w:divBdr>
        <w:top w:val="none" w:sz="0" w:space="0" w:color="auto"/>
        <w:left w:val="none" w:sz="0" w:space="0" w:color="auto"/>
        <w:bottom w:val="none" w:sz="0" w:space="0" w:color="auto"/>
        <w:right w:val="none" w:sz="0" w:space="0" w:color="auto"/>
      </w:divBdr>
    </w:div>
    <w:div w:id="547884185">
      <w:bodyDiv w:val="1"/>
      <w:marLeft w:val="0"/>
      <w:marRight w:val="0"/>
      <w:marTop w:val="0"/>
      <w:marBottom w:val="0"/>
      <w:divBdr>
        <w:top w:val="none" w:sz="0" w:space="0" w:color="auto"/>
        <w:left w:val="none" w:sz="0" w:space="0" w:color="auto"/>
        <w:bottom w:val="none" w:sz="0" w:space="0" w:color="auto"/>
        <w:right w:val="none" w:sz="0" w:space="0" w:color="auto"/>
      </w:divBdr>
      <w:divsChild>
        <w:div w:id="63140629">
          <w:marLeft w:val="0"/>
          <w:marRight w:val="0"/>
          <w:marTop w:val="0"/>
          <w:marBottom w:val="0"/>
          <w:divBdr>
            <w:top w:val="none" w:sz="0" w:space="0" w:color="auto"/>
            <w:left w:val="none" w:sz="0" w:space="0" w:color="auto"/>
            <w:bottom w:val="none" w:sz="0" w:space="0" w:color="auto"/>
            <w:right w:val="none" w:sz="0" w:space="0" w:color="auto"/>
          </w:divBdr>
        </w:div>
      </w:divsChild>
    </w:div>
    <w:div w:id="552733336">
      <w:bodyDiv w:val="1"/>
      <w:marLeft w:val="0"/>
      <w:marRight w:val="0"/>
      <w:marTop w:val="0"/>
      <w:marBottom w:val="0"/>
      <w:divBdr>
        <w:top w:val="none" w:sz="0" w:space="0" w:color="auto"/>
        <w:left w:val="none" w:sz="0" w:space="0" w:color="auto"/>
        <w:bottom w:val="none" w:sz="0" w:space="0" w:color="auto"/>
        <w:right w:val="none" w:sz="0" w:space="0" w:color="auto"/>
      </w:divBdr>
    </w:div>
    <w:div w:id="578100576">
      <w:bodyDiv w:val="1"/>
      <w:marLeft w:val="0"/>
      <w:marRight w:val="0"/>
      <w:marTop w:val="0"/>
      <w:marBottom w:val="0"/>
      <w:divBdr>
        <w:top w:val="none" w:sz="0" w:space="0" w:color="auto"/>
        <w:left w:val="none" w:sz="0" w:space="0" w:color="auto"/>
        <w:bottom w:val="none" w:sz="0" w:space="0" w:color="auto"/>
        <w:right w:val="none" w:sz="0" w:space="0" w:color="auto"/>
      </w:divBdr>
      <w:divsChild>
        <w:div w:id="1454710407">
          <w:marLeft w:val="0"/>
          <w:marRight w:val="0"/>
          <w:marTop w:val="0"/>
          <w:marBottom w:val="0"/>
          <w:divBdr>
            <w:top w:val="none" w:sz="0" w:space="0" w:color="auto"/>
            <w:left w:val="none" w:sz="0" w:space="0" w:color="auto"/>
            <w:bottom w:val="none" w:sz="0" w:space="0" w:color="auto"/>
            <w:right w:val="none" w:sz="0" w:space="0" w:color="auto"/>
          </w:divBdr>
        </w:div>
      </w:divsChild>
    </w:div>
    <w:div w:id="596250824">
      <w:bodyDiv w:val="1"/>
      <w:marLeft w:val="0"/>
      <w:marRight w:val="0"/>
      <w:marTop w:val="0"/>
      <w:marBottom w:val="0"/>
      <w:divBdr>
        <w:top w:val="none" w:sz="0" w:space="0" w:color="auto"/>
        <w:left w:val="none" w:sz="0" w:space="0" w:color="auto"/>
        <w:bottom w:val="none" w:sz="0" w:space="0" w:color="auto"/>
        <w:right w:val="none" w:sz="0" w:space="0" w:color="auto"/>
      </w:divBdr>
      <w:divsChild>
        <w:div w:id="1231964032">
          <w:marLeft w:val="0"/>
          <w:marRight w:val="0"/>
          <w:marTop w:val="0"/>
          <w:marBottom w:val="0"/>
          <w:divBdr>
            <w:top w:val="none" w:sz="0" w:space="0" w:color="auto"/>
            <w:left w:val="none" w:sz="0" w:space="0" w:color="auto"/>
            <w:bottom w:val="none" w:sz="0" w:space="0" w:color="auto"/>
            <w:right w:val="none" w:sz="0" w:space="0" w:color="auto"/>
          </w:divBdr>
        </w:div>
      </w:divsChild>
    </w:div>
    <w:div w:id="620770557">
      <w:bodyDiv w:val="1"/>
      <w:marLeft w:val="0"/>
      <w:marRight w:val="0"/>
      <w:marTop w:val="0"/>
      <w:marBottom w:val="0"/>
      <w:divBdr>
        <w:top w:val="none" w:sz="0" w:space="0" w:color="auto"/>
        <w:left w:val="none" w:sz="0" w:space="0" w:color="auto"/>
        <w:bottom w:val="none" w:sz="0" w:space="0" w:color="auto"/>
        <w:right w:val="none" w:sz="0" w:space="0" w:color="auto"/>
      </w:divBdr>
      <w:divsChild>
        <w:div w:id="1106003533">
          <w:marLeft w:val="0"/>
          <w:marRight w:val="0"/>
          <w:marTop w:val="0"/>
          <w:marBottom w:val="0"/>
          <w:divBdr>
            <w:top w:val="none" w:sz="0" w:space="0" w:color="auto"/>
            <w:left w:val="none" w:sz="0" w:space="0" w:color="auto"/>
            <w:bottom w:val="none" w:sz="0" w:space="0" w:color="auto"/>
            <w:right w:val="none" w:sz="0" w:space="0" w:color="auto"/>
          </w:divBdr>
        </w:div>
      </w:divsChild>
    </w:div>
    <w:div w:id="642662771">
      <w:bodyDiv w:val="1"/>
      <w:marLeft w:val="0"/>
      <w:marRight w:val="0"/>
      <w:marTop w:val="0"/>
      <w:marBottom w:val="0"/>
      <w:divBdr>
        <w:top w:val="none" w:sz="0" w:space="0" w:color="auto"/>
        <w:left w:val="none" w:sz="0" w:space="0" w:color="auto"/>
        <w:bottom w:val="none" w:sz="0" w:space="0" w:color="auto"/>
        <w:right w:val="none" w:sz="0" w:space="0" w:color="auto"/>
      </w:divBdr>
    </w:div>
    <w:div w:id="681395475">
      <w:bodyDiv w:val="1"/>
      <w:marLeft w:val="0"/>
      <w:marRight w:val="0"/>
      <w:marTop w:val="0"/>
      <w:marBottom w:val="0"/>
      <w:divBdr>
        <w:top w:val="none" w:sz="0" w:space="0" w:color="auto"/>
        <w:left w:val="none" w:sz="0" w:space="0" w:color="auto"/>
        <w:bottom w:val="none" w:sz="0" w:space="0" w:color="auto"/>
        <w:right w:val="none" w:sz="0" w:space="0" w:color="auto"/>
      </w:divBdr>
    </w:div>
    <w:div w:id="710301198">
      <w:bodyDiv w:val="1"/>
      <w:marLeft w:val="0"/>
      <w:marRight w:val="0"/>
      <w:marTop w:val="0"/>
      <w:marBottom w:val="0"/>
      <w:divBdr>
        <w:top w:val="none" w:sz="0" w:space="0" w:color="auto"/>
        <w:left w:val="none" w:sz="0" w:space="0" w:color="auto"/>
        <w:bottom w:val="none" w:sz="0" w:space="0" w:color="auto"/>
        <w:right w:val="none" w:sz="0" w:space="0" w:color="auto"/>
      </w:divBdr>
    </w:div>
    <w:div w:id="741637425">
      <w:bodyDiv w:val="1"/>
      <w:marLeft w:val="0"/>
      <w:marRight w:val="0"/>
      <w:marTop w:val="0"/>
      <w:marBottom w:val="0"/>
      <w:divBdr>
        <w:top w:val="none" w:sz="0" w:space="0" w:color="auto"/>
        <w:left w:val="none" w:sz="0" w:space="0" w:color="auto"/>
        <w:bottom w:val="none" w:sz="0" w:space="0" w:color="auto"/>
        <w:right w:val="none" w:sz="0" w:space="0" w:color="auto"/>
      </w:divBdr>
      <w:divsChild>
        <w:div w:id="1592661321">
          <w:marLeft w:val="0"/>
          <w:marRight w:val="0"/>
          <w:marTop w:val="0"/>
          <w:marBottom w:val="0"/>
          <w:divBdr>
            <w:top w:val="none" w:sz="0" w:space="0" w:color="auto"/>
            <w:left w:val="none" w:sz="0" w:space="0" w:color="auto"/>
            <w:bottom w:val="none" w:sz="0" w:space="0" w:color="auto"/>
            <w:right w:val="none" w:sz="0" w:space="0" w:color="auto"/>
          </w:divBdr>
        </w:div>
      </w:divsChild>
    </w:div>
    <w:div w:id="791678152">
      <w:bodyDiv w:val="1"/>
      <w:marLeft w:val="0"/>
      <w:marRight w:val="0"/>
      <w:marTop w:val="0"/>
      <w:marBottom w:val="0"/>
      <w:divBdr>
        <w:top w:val="none" w:sz="0" w:space="0" w:color="auto"/>
        <w:left w:val="none" w:sz="0" w:space="0" w:color="auto"/>
        <w:bottom w:val="none" w:sz="0" w:space="0" w:color="auto"/>
        <w:right w:val="none" w:sz="0" w:space="0" w:color="auto"/>
      </w:divBdr>
      <w:divsChild>
        <w:div w:id="198127991">
          <w:marLeft w:val="0"/>
          <w:marRight w:val="0"/>
          <w:marTop w:val="0"/>
          <w:marBottom w:val="0"/>
          <w:divBdr>
            <w:top w:val="none" w:sz="0" w:space="0" w:color="auto"/>
            <w:left w:val="none" w:sz="0" w:space="0" w:color="auto"/>
            <w:bottom w:val="none" w:sz="0" w:space="0" w:color="auto"/>
            <w:right w:val="none" w:sz="0" w:space="0" w:color="auto"/>
          </w:divBdr>
        </w:div>
      </w:divsChild>
    </w:div>
    <w:div w:id="803624145">
      <w:bodyDiv w:val="1"/>
      <w:marLeft w:val="0"/>
      <w:marRight w:val="0"/>
      <w:marTop w:val="0"/>
      <w:marBottom w:val="0"/>
      <w:divBdr>
        <w:top w:val="none" w:sz="0" w:space="0" w:color="auto"/>
        <w:left w:val="none" w:sz="0" w:space="0" w:color="auto"/>
        <w:bottom w:val="none" w:sz="0" w:space="0" w:color="auto"/>
        <w:right w:val="none" w:sz="0" w:space="0" w:color="auto"/>
      </w:divBdr>
    </w:div>
    <w:div w:id="821122946">
      <w:bodyDiv w:val="1"/>
      <w:marLeft w:val="0"/>
      <w:marRight w:val="0"/>
      <w:marTop w:val="0"/>
      <w:marBottom w:val="0"/>
      <w:divBdr>
        <w:top w:val="none" w:sz="0" w:space="0" w:color="auto"/>
        <w:left w:val="none" w:sz="0" w:space="0" w:color="auto"/>
        <w:bottom w:val="none" w:sz="0" w:space="0" w:color="auto"/>
        <w:right w:val="none" w:sz="0" w:space="0" w:color="auto"/>
      </w:divBdr>
      <w:divsChild>
        <w:div w:id="532882192">
          <w:marLeft w:val="0"/>
          <w:marRight w:val="0"/>
          <w:marTop w:val="0"/>
          <w:marBottom w:val="0"/>
          <w:divBdr>
            <w:top w:val="none" w:sz="0" w:space="0" w:color="auto"/>
            <w:left w:val="none" w:sz="0" w:space="0" w:color="auto"/>
            <w:bottom w:val="none" w:sz="0" w:space="0" w:color="auto"/>
            <w:right w:val="none" w:sz="0" w:space="0" w:color="auto"/>
          </w:divBdr>
        </w:div>
      </w:divsChild>
    </w:div>
    <w:div w:id="909576385">
      <w:bodyDiv w:val="1"/>
      <w:marLeft w:val="0"/>
      <w:marRight w:val="0"/>
      <w:marTop w:val="0"/>
      <w:marBottom w:val="0"/>
      <w:divBdr>
        <w:top w:val="none" w:sz="0" w:space="0" w:color="auto"/>
        <w:left w:val="none" w:sz="0" w:space="0" w:color="auto"/>
        <w:bottom w:val="none" w:sz="0" w:space="0" w:color="auto"/>
        <w:right w:val="none" w:sz="0" w:space="0" w:color="auto"/>
      </w:divBdr>
      <w:divsChild>
        <w:div w:id="1884825394">
          <w:marLeft w:val="0"/>
          <w:marRight w:val="0"/>
          <w:marTop w:val="0"/>
          <w:marBottom w:val="0"/>
          <w:divBdr>
            <w:top w:val="none" w:sz="0" w:space="0" w:color="auto"/>
            <w:left w:val="none" w:sz="0" w:space="0" w:color="auto"/>
            <w:bottom w:val="none" w:sz="0" w:space="0" w:color="auto"/>
            <w:right w:val="none" w:sz="0" w:space="0" w:color="auto"/>
          </w:divBdr>
        </w:div>
      </w:divsChild>
    </w:div>
    <w:div w:id="961695739">
      <w:bodyDiv w:val="1"/>
      <w:marLeft w:val="0"/>
      <w:marRight w:val="0"/>
      <w:marTop w:val="0"/>
      <w:marBottom w:val="0"/>
      <w:divBdr>
        <w:top w:val="none" w:sz="0" w:space="0" w:color="auto"/>
        <w:left w:val="none" w:sz="0" w:space="0" w:color="auto"/>
        <w:bottom w:val="none" w:sz="0" w:space="0" w:color="auto"/>
        <w:right w:val="none" w:sz="0" w:space="0" w:color="auto"/>
      </w:divBdr>
    </w:div>
    <w:div w:id="970358667">
      <w:bodyDiv w:val="1"/>
      <w:marLeft w:val="0"/>
      <w:marRight w:val="0"/>
      <w:marTop w:val="0"/>
      <w:marBottom w:val="0"/>
      <w:divBdr>
        <w:top w:val="none" w:sz="0" w:space="0" w:color="auto"/>
        <w:left w:val="none" w:sz="0" w:space="0" w:color="auto"/>
        <w:bottom w:val="none" w:sz="0" w:space="0" w:color="auto"/>
        <w:right w:val="none" w:sz="0" w:space="0" w:color="auto"/>
      </w:divBdr>
    </w:div>
    <w:div w:id="976685512">
      <w:bodyDiv w:val="1"/>
      <w:marLeft w:val="0"/>
      <w:marRight w:val="0"/>
      <w:marTop w:val="0"/>
      <w:marBottom w:val="0"/>
      <w:divBdr>
        <w:top w:val="none" w:sz="0" w:space="0" w:color="auto"/>
        <w:left w:val="none" w:sz="0" w:space="0" w:color="auto"/>
        <w:bottom w:val="none" w:sz="0" w:space="0" w:color="auto"/>
        <w:right w:val="none" w:sz="0" w:space="0" w:color="auto"/>
      </w:divBdr>
      <w:divsChild>
        <w:div w:id="389614594">
          <w:marLeft w:val="0"/>
          <w:marRight w:val="0"/>
          <w:marTop w:val="0"/>
          <w:marBottom w:val="0"/>
          <w:divBdr>
            <w:top w:val="none" w:sz="0" w:space="0" w:color="auto"/>
            <w:left w:val="none" w:sz="0" w:space="0" w:color="auto"/>
            <w:bottom w:val="none" w:sz="0" w:space="0" w:color="auto"/>
            <w:right w:val="none" w:sz="0" w:space="0" w:color="auto"/>
          </w:divBdr>
        </w:div>
      </w:divsChild>
    </w:div>
    <w:div w:id="981271895">
      <w:bodyDiv w:val="1"/>
      <w:marLeft w:val="0"/>
      <w:marRight w:val="0"/>
      <w:marTop w:val="0"/>
      <w:marBottom w:val="0"/>
      <w:divBdr>
        <w:top w:val="none" w:sz="0" w:space="0" w:color="auto"/>
        <w:left w:val="none" w:sz="0" w:space="0" w:color="auto"/>
        <w:bottom w:val="none" w:sz="0" w:space="0" w:color="auto"/>
        <w:right w:val="none" w:sz="0" w:space="0" w:color="auto"/>
      </w:divBdr>
    </w:div>
    <w:div w:id="989401744">
      <w:bodyDiv w:val="1"/>
      <w:marLeft w:val="0"/>
      <w:marRight w:val="0"/>
      <w:marTop w:val="0"/>
      <w:marBottom w:val="0"/>
      <w:divBdr>
        <w:top w:val="none" w:sz="0" w:space="0" w:color="auto"/>
        <w:left w:val="none" w:sz="0" w:space="0" w:color="auto"/>
        <w:bottom w:val="none" w:sz="0" w:space="0" w:color="auto"/>
        <w:right w:val="none" w:sz="0" w:space="0" w:color="auto"/>
      </w:divBdr>
    </w:div>
    <w:div w:id="1011881938">
      <w:bodyDiv w:val="1"/>
      <w:marLeft w:val="0"/>
      <w:marRight w:val="0"/>
      <w:marTop w:val="0"/>
      <w:marBottom w:val="0"/>
      <w:divBdr>
        <w:top w:val="none" w:sz="0" w:space="0" w:color="auto"/>
        <w:left w:val="none" w:sz="0" w:space="0" w:color="auto"/>
        <w:bottom w:val="none" w:sz="0" w:space="0" w:color="auto"/>
        <w:right w:val="none" w:sz="0" w:space="0" w:color="auto"/>
      </w:divBdr>
      <w:divsChild>
        <w:div w:id="882058000">
          <w:marLeft w:val="0"/>
          <w:marRight w:val="0"/>
          <w:marTop w:val="0"/>
          <w:marBottom w:val="0"/>
          <w:divBdr>
            <w:top w:val="none" w:sz="0" w:space="0" w:color="auto"/>
            <w:left w:val="none" w:sz="0" w:space="0" w:color="auto"/>
            <w:bottom w:val="none" w:sz="0" w:space="0" w:color="auto"/>
            <w:right w:val="none" w:sz="0" w:space="0" w:color="auto"/>
          </w:divBdr>
        </w:div>
      </w:divsChild>
    </w:div>
    <w:div w:id="1024283850">
      <w:bodyDiv w:val="1"/>
      <w:marLeft w:val="0"/>
      <w:marRight w:val="0"/>
      <w:marTop w:val="0"/>
      <w:marBottom w:val="0"/>
      <w:divBdr>
        <w:top w:val="none" w:sz="0" w:space="0" w:color="auto"/>
        <w:left w:val="none" w:sz="0" w:space="0" w:color="auto"/>
        <w:bottom w:val="none" w:sz="0" w:space="0" w:color="auto"/>
        <w:right w:val="none" w:sz="0" w:space="0" w:color="auto"/>
      </w:divBdr>
      <w:divsChild>
        <w:div w:id="1278487814">
          <w:marLeft w:val="0"/>
          <w:marRight w:val="0"/>
          <w:marTop w:val="0"/>
          <w:marBottom w:val="0"/>
          <w:divBdr>
            <w:top w:val="none" w:sz="0" w:space="0" w:color="auto"/>
            <w:left w:val="none" w:sz="0" w:space="0" w:color="auto"/>
            <w:bottom w:val="none" w:sz="0" w:space="0" w:color="auto"/>
            <w:right w:val="none" w:sz="0" w:space="0" w:color="auto"/>
          </w:divBdr>
        </w:div>
        <w:div w:id="1417046655">
          <w:marLeft w:val="0"/>
          <w:marRight w:val="0"/>
          <w:marTop w:val="0"/>
          <w:marBottom w:val="0"/>
          <w:divBdr>
            <w:top w:val="none" w:sz="0" w:space="0" w:color="auto"/>
            <w:left w:val="none" w:sz="0" w:space="0" w:color="auto"/>
            <w:bottom w:val="none" w:sz="0" w:space="0" w:color="auto"/>
            <w:right w:val="none" w:sz="0" w:space="0" w:color="auto"/>
          </w:divBdr>
        </w:div>
      </w:divsChild>
    </w:div>
    <w:div w:id="1063718769">
      <w:bodyDiv w:val="1"/>
      <w:marLeft w:val="0"/>
      <w:marRight w:val="0"/>
      <w:marTop w:val="0"/>
      <w:marBottom w:val="0"/>
      <w:divBdr>
        <w:top w:val="none" w:sz="0" w:space="0" w:color="auto"/>
        <w:left w:val="none" w:sz="0" w:space="0" w:color="auto"/>
        <w:bottom w:val="none" w:sz="0" w:space="0" w:color="auto"/>
        <w:right w:val="none" w:sz="0" w:space="0" w:color="auto"/>
      </w:divBdr>
      <w:divsChild>
        <w:div w:id="2020886384">
          <w:marLeft w:val="0"/>
          <w:marRight w:val="0"/>
          <w:marTop w:val="0"/>
          <w:marBottom w:val="0"/>
          <w:divBdr>
            <w:top w:val="none" w:sz="0" w:space="0" w:color="auto"/>
            <w:left w:val="none" w:sz="0" w:space="0" w:color="auto"/>
            <w:bottom w:val="none" w:sz="0" w:space="0" w:color="auto"/>
            <w:right w:val="none" w:sz="0" w:space="0" w:color="auto"/>
          </w:divBdr>
        </w:div>
      </w:divsChild>
    </w:div>
    <w:div w:id="1066800856">
      <w:bodyDiv w:val="1"/>
      <w:marLeft w:val="0"/>
      <w:marRight w:val="0"/>
      <w:marTop w:val="0"/>
      <w:marBottom w:val="0"/>
      <w:divBdr>
        <w:top w:val="none" w:sz="0" w:space="0" w:color="auto"/>
        <w:left w:val="none" w:sz="0" w:space="0" w:color="auto"/>
        <w:bottom w:val="none" w:sz="0" w:space="0" w:color="auto"/>
        <w:right w:val="none" w:sz="0" w:space="0" w:color="auto"/>
      </w:divBdr>
    </w:div>
    <w:div w:id="1068648308">
      <w:bodyDiv w:val="1"/>
      <w:marLeft w:val="0"/>
      <w:marRight w:val="0"/>
      <w:marTop w:val="0"/>
      <w:marBottom w:val="0"/>
      <w:divBdr>
        <w:top w:val="none" w:sz="0" w:space="0" w:color="auto"/>
        <w:left w:val="none" w:sz="0" w:space="0" w:color="auto"/>
        <w:bottom w:val="none" w:sz="0" w:space="0" w:color="auto"/>
        <w:right w:val="none" w:sz="0" w:space="0" w:color="auto"/>
      </w:divBdr>
      <w:divsChild>
        <w:div w:id="548609968">
          <w:marLeft w:val="0"/>
          <w:marRight w:val="0"/>
          <w:marTop w:val="0"/>
          <w:marBottom w:val="0"/>
          <w:divBdr>
            <w:top w:val="none" w:sz="0" w:space="0" w:color="auto"/>
            <w:left w:val="none" w:sz="0" w:space="0" w:color="auto"/>
            <w:bottom w:val="none" w:sz="0" w:space="0" w:color="auto"/>
            <w:right w:val="none" w:sz="0" w:space="0" w:color="auto"/>
          </w:divBdr>
        </w:div>
      </w:divsChild>
    </w:div>
    <w:div w:id="1097562057">
      <w:bodyDiv w:val="1"/>
      <w:marLeft w:val="0"/>
      <w:marRight w:val="0"/>
      <w:marTop w:val="0"/>
      <w:marBottom w:val="0"/>
      <w:divBdr>
        <w:top w:val="none" w:sz="0" w:space="0" w:color="auto"/>
        <w:left w:val="none" w:sz="0" w:space="0" w:color="auto"/>
        <w:bottom w:val="none" w:sz="0" w:space="0" w:color="auto"/>
        <w:right w:val="none" w:sz="0" w:space="0" w:color="auto"/>
      </w:divBdr>
      <w:divsChild>
        <w:div w:id="1547985261">
          <w:marLeft w:val="0"/>
          <w:marRight w:val="0"/>
          <w:marTop w:val="0"/>
          <w:marBottom w:val="0"/>
          <w:divBdr>
            <w:top w:val="none" w:sz="0" w:space="0" w:color="auto"/>
            <w:left w:val="none" w:sz="0" w:space="0" w:color="auto"/>
            <w:bottom w:val="none" w:sz="0" w:space="0" w:color="auto"/>
            <w:right w:val="none" w:sz="0" w:space="0" w:color="auto"/>
          </w:divBdr>
        </w:div>
      </w:divsChild>
    </w:div>
    <w:div w:id="1139109440">
      <w:bodyDiv w:val="1"/>
      <w:marLeft w:val="0"/>
      <w:marRight w:val="0"/>
      <w:marTop w:val="0"/>
      <w:marBottom w:val="0"/>
      <w:divBdr>
        <w:top w:val="none" w:sz="0" w:space="0" w:color="auto"/>
        <w:left w:val="none" w:sz="0" w:space="0" w:color="auto"/>
        <w:bottom w:val="none" w:sz="0" w:space="0" w:color="auto"/>
        <w:right w:val="none" w:sz="0" w:space="0" w:color="auto"/>
      </w:divBdr>
      <w:divsChild>
        <w:div w:id="1590918318">
          <w:marLeft w:val="0"/>
          <w:marRight w:val="0"/>
          <w:marTop w:val="0"/>
          <w:marBottom w:val="0"/>
          <w:divBdr>
            <w:top w:val="none" w:sz="0" w:space="0" w:color="auto"/>
            <w:left w:val="none" w:sz="0" w:space="0" w:color="auto"/>
            <w:bottom w:val="none" w:sz="0" w:space="0" w:color="auto"/>
            <w:right w:val="none" w:sz="0" w:space="0" w:color="auto"/>
          </w:divBdr>
        </w:div>
      </w:divsChild>
    </w:div>
    <w:div w:id="1141732689">
      <w:bodyDiv w:val="1"/>
      <w:marLeft w:val="0"/>
      <w:marRight w:val="0"/>
      <w:marTop w:val="0"/>
      <w:marBottom w:val="0"/>
      <w:divBdr>
        <w:top w:val="none" w:sz="0" w:space="0" w:color="auto"/>
        <w:left w:val="none" w:sz="0" w:space="0" w:color="auto"/>
        <w:bottom w:val="none" w:sz="0" w:space="0" w:color="auto"/>
        <w:right w:val="none" w:sz="0" w:space="0" w:color="auto"/>
      </w:divBdr>
      <w:divsChild>
        <w:div w:id="1753698948">
          <w:marLeft w:val="0"/>
          <w:marRight w:val="0"/>
          <w:marTop w:val="0"/>
          <w:marBottom w:val="0"/>
          <w:divBdr>
            <w:top w:val="none" w:sz="0" w:space="0" w:color="auto"/>
            <w:left w:val="none" w:sz="0" w:space="0" w:color="auto"/>
            <w:bottom w:val="none" w:sz="0" w:space="0" w:color="auto"/>
            <w:right w:val="none" w:sz="0" w:space="0" w:color="auto"/>
          </w:divBdr>
        </w:div>
      </w:divsChild>
    </w:div>
    <w:div w:id="1165053006">
      <w:bodyDiv w:val="1"/>
      <w:marLeft w:val="0"/>
      <w:marRight w:val="0"/>
      <w:marTop w:val="0"/>
      <w:marBottom w:val="0"/>
      <w:divBdr>
        <w:top w:val="none" w:sz="0" w:space="0" w:color="auto"/>
        <w:left w:val="none" w:sz="0" w:space="0" w:color="auto"/>
        <w:bottom w:val="none" w:sz="0" w:space="0" w:color="auto"/>
        <w:right w:val="none" w:sz="0" w:space="0" w:color="auto"/>
      </w:divBdr>
      <w:divsChild>
        <w:div w:id="1634795975">
          <w:marLeft w:val="0"/>
          <w:marRight w:val="0"/>
          <w:marTop w:val="0"/>
          <w:marBottom w:val="0"/>
          <w:divBdr>
            <w:top w:val="none" w:sz="0" w:space="0" w:color="auto"/>
            <w:left w:val="none" w:sz="0" w:space="0" w:color="auto"/>
            <w:bottom w:val="none" w:sz="0" w:space="0" w:color="auto"/>
            <w:right w:val="none" w:sz="0" w:space="0" w:color="auto"/>
          </w:divBdr>
          <w:divsChild>
            <w:div w:id="19023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2849">
      <w:bodyDiv w:val="1"/>
      <w:marLeft w:val="0"/>
      <w:marRight w:val="0"/>
      <w:marTop w:val="0"/>
      <w:marBottom w:val="0"/>
      <w:divBdr>
        <w:top w:val="none" w:sz="0" w:space="0" w:color="auto"/>
        <w:left w:val="none" w:sz="0" w:space="0" w:color="auto"/>
        <w:bottom w:val="none" w:sz="0" w:space="0" w:color="auto"/>
        <w:right w:val="none" w:sz="0" w:space="0" w:color="auto"/>
      </w:divBdr>
      <w:divsChild>
        <w:div w:id="139227332">
          <w:marLeft w:val="0"/>
          <w:marRight w:val="0"/>
          <w:marTop w:val="0"/>
          <w:marBottom w:val="0"/>
          <w:divBdr>
            <w:top w:val="none" w:sz="0" w:space="0" w:color="auto"/>
            <w:left w:val="none" w:sz="0" w:space="0" w:color="auto"/>
            <w:bottom w:val="none" w:sz="0" w:space="0" w:color="auto"/>
            <w:right w:val="none" w:sz="0" w:space="0" w:color="auto"/>
          </w:divBdr>
        </w:div>
      </w:divsChild>
    </w:div>
    <w:div w:id="1276600266">
      <w:bodyDiv w:val="1"/>
      <w:marLeft w:val="0"/>
      <w:marRight w:val="0"/>
      <w:marTop w:val="0"/>
      <w:marBottom w:val="0"/>
      <w:divBdr>
        <w:top w:val="none" w:sz="0" w:space="0" w:color="auto"/>
        <w:left w:val="none" w:sz="0" w:space="0" w:color="auto"/>
        <w:bottom w:val="none" w:sz="0" w:space="0" w:color="auto"/>
        <w:right w:val="none" w:sz="0" w:space="0" w:color="auto"/>
      </w:divBdr>
    </w:div>
    <w:div w:id="1281447798">
      <w:bodyDiv w:val="1"/>
      <w:marLeft w:val="0"/>
      <w:marRight w:val="0"/>
      <w:marTop w:val="0"/>
      <w:marBottom w:val="0"/>
      <w:divBdr>
        <w:top w:val="none" w:sz="0" w:space="0" w:color="auto"/>
        <w:left w:val="none" w:sz="0" w:space="0" w:color="auto"/>
        <w:bottom w:val="none" w:sz="0" w:space="0" w:color="auto"/>
        <w:right w:val="none" w:sz="0" w:space="0" w:color="auto"/>
      </w:divBdr>
      <w:divsChild>
        <w:div w:id="1969580482">
          <w:marLeft w:val="0"/>
          <w:marRight w:val="0"/>
          <w:marTop w:val="0"/>
          <w:marBottom w:val="0"/>
          <w:divBdr>
            <w:top w:val="none" w:sz="0" w:space="0" w:color="auto"/>
            <w:left w:val="none" w:sz="0" w:space="0" w:color="auto"/>
            <w:bottom w:val="none" w:sz="0" w:space="0" w:color="auto"/>
            <w:right w:val="none" w:sz="0" w:space="0" w:color="auto"/>
          </w:divBdr>
        </w:div>
      </w:divsChild>
    </w:div>
    <w:div w:id="1310748833">
      <w:bodyDiv w:val="1"/>
      <w:marLeft w:val="0"/>
      <w:marRight w:val="0"/>
      <w:marTop w:val="0"/>
      <w:marBottom w:val="0"/>
      <w:divBdr>
        <w:top w:val="none" w:sz="0" w:space="0" w:color="auto"/>
        <w:left w:val="none" w:sz="0" w:space="0" w:color="auto"/>
        <w:bottom w:val="none" w:sz="0" w:space="0" w:color="auto"/>
        <w:right w:val="none" w:sz="0" w:space="0" w:color="auto"/>
      </w:divBdr>
      <w:divsChild>
        <w:div w:id="718748608">
          <w:marLeft w:val="0"/>
          <w:marRight w:val="0"/>
          <w:marTop w:val="0"/>
          <w:marBottom w:val="0"/>
          <w:divBdr>
            <w:top w:val="none" w:sz="0" w:space="0" w:color="auto"/>
            <w:left w:val="none" w:sz="0" w:space="0" w:color="auto"/>
            <w:bottom w:val="none" w:sz="0" w:space="0" w:color="auto"/>
            <w:right w:val="none" w:sz="0" w:space="0" w:color="auto"/>
          </w:divBdr>
        </w:div>
      </w:divsChild>
    </w:div>
    <w:div w:id="1313564869">
      <w:bodyDiv w:val="1"/>
      <w:marLeft w:val="0"/>
      <w:marRight w:val="0"/>
      <w:marTop w:val="0"/>
      <w:marBottom w:val="0"/>
      <w:divBdr>
        <w:top w:val="none" w:sz="0" w:space="0" w:color="auto"/>
        <w:left w:val="none" w:sz="0" w:space="0" w:color="auto"/>
        <w:bottom w:val="none" w:sz="0" w:space="0" w:color="auto"/>
        <w:right w:val="none" w:sz="0" w:space="0" w:color="auto"/>
      </w:divBdr>
      <w:divsChild>
        <w:div w:id="436294203">
          <w:marLeft w:val="0"/>
          <w:marRight w:val="0"/>
          <w:marTop w:val="0"/>
          <w:marBottom w:val="0"/>
          <w:divBdr>
            <w:top w:val="none" w:sz="0" w:space="0" w:color="auto"/>
            <w:left w:val="none" w:sz="0" w:space="0" w:color="auto"/>
            <w:bottom w:val="none" w:sz="0" w:space="0" w:color="auto"/>
            <w:right w:val="none" w:sz="0" w:space="0" w:color="auto"/>
          </w:divBdr>
        </w:div>
      </w:divsChild>
    </w:div>
    <w:div w:id="1346320978">
      <w:bodyDiv w:val="1"/>
      <w:marLeft w:val="0"/>
      <w:marRight w:val="0"/>
      <w:marTop w:val="0"/>
      <w:marBottom w:val="0"/>
      <w:divBdr>
        <w:top w:val="none" w:sz="0" w:space="0" w:color="auto"/>
        <w:left w:val="none" w:sz="0" w:space="0" w:color="auto"/>
        <w:bottom w:val="none" w:sz="0" w:space="0" w:color="auto"/>
        <w:right w:val="none" w:sz="0" w:space="0" w:color="auto"/>
      </w:divBdr>
      <w:divsChild>
        <w:div w:id="148639080">
          <w:marLeft w:val="0"/>
          <w:marRight w:val="0"/>
          <w:marTop w:val="0"/>
          <w:marBottom w:val="0"/>
          <w:divBdr>
            <w:top w:val="none" w:sz="0" w:space="0" w:color="auto"/>
            <w:left w:val="none" w:sz="0" w:space="0" w:color="auto"/>
            <w:bottom w:val="none" w:sz="0" w:space="0" w:color="auto"/>
            <w:right w:val="none" w:sz="0" w:space="0" w:color="auto"/>
          </w:divBdr>
        </w:div>
      </w:divsChild>
    </w:div>
    <w:div w:id="1350258307">
      <w:bodyDiv w:val="1"/>
      <w:marLeft w:val="0"/>
      <w:marRight w:val="0"/>
      <w:marTop w:val="0"/>
      <w:marBottom w:val="0"/>
      <w:divBdr>
        <w:top w:val="none" w:sz="0" w:space="0" w:color="auto"/>
        <w:left w:val="none" w:sz="0" w:space="0" w:color="auto"/>
        <w:bottom w:val="none" w:sz="0" w:space="0" w:color="auto"/>
        <w:right w:val="none" w:sz="0" w:space="0" w:color="auto"/>
      </w:divBdr>
      <w:divsChild>
        <w:div w:id="538930546">
          <w:marLeft w:val="0"/>
          <w:marRight w:val="0"/>
          <w:marTop w:val="0"/>
          <w:marBottom w:val="0"/>
          <w:divBdr>
            <w:top w:val="none" w:sz="0" w:space="0" w:color="auto"/>
            <w:left w:val="none" w:sz="0" w:space="0" w:color="auto"/>
            <w:bottom w:val="none" w:sz="0" w:space="0" w:color="auto"/>
            <w:right w:val="none" w:sz="0" w:space="0" w:color="auto"/>
          </w:divBdr>
        </w:div>
        <w:div w:id="670255457">
          <w:marLeft w:val="0"/>
          <w:marRight w:val="0"/>
          <w:marTop w:val="0"/>
          <w:marBottom w:val="0"/>
          <w:divBdr>
            <w:top w:val="none" w:sz="0" w:space="0" w:color="auto"/>
            <w:left w:val="none" w:sz="0" w:space="0" w:color="auto"/>
            <w:bottom w:val="none" w:sz="0" w:space="0" w:color="auto"/>
            <w:right w:val="none" w:sz="0" w:space="0" w:color="auto"/>
          </w:divBdr>
        </w:div>
      </w:divsChild>
    </w:div>
    <w:div w:id="1368608121">
      <w:bodyDiv w:val="1"/>
      <w:marLeft w:val="0"/>
      <w:marRight w:val="0"/>
      <w:marTop w:val="0"/>
      <w:marBottom w:val="0"/>
      <w:divBdr>
        <w:top w:val="none" w:sz="0" w:space="0" w:color="auto"/>
        <w:left w:val="none" w:sz="0" w:space="0" w:color="auto"/>
        <w:bottom w:val="none" w:sz="0" w:space="0" w:color="auto"/>
        <w:right w:val="none" w:sz="0" w:space="0" w:color="auto"/>
      </w:divBdr>
    </w:div>
    <w:div w:id="1369068645">
      <w:bodyDiv w:val="1"/>
      <w:marLeft w:val="0"/>
      <w:marRight w:val="0"/>
      <w:marTop w:val="0"/>
      <w:marBottom w:val="0"/>
      <w:divBdr>
        <w:top w:val="none" w:sz="0" w:space="0" w:color="auto"/>
        <w:left w:val="none" w:sz="0" w:space="0" w:color="auto"/>
        <w:bottom w:val="none" w:sz="0" w:space="0" w:color="auto"/>
        <w:right w:val="none" w:sz="0" w:space="0" w:color="auto"/>
      </w:divBdr>
      <w:divsChild>
        <w:div w:id="184027332">
          <w:marLeft w:val="0"/>
          <w:marRight w:val="0"/>
          <w:marTop w:val="0"/>
          <w:marBottom w:val="0"/>
          <w:divBdr>
            <w:top w:val="none" w:sz="0" w:space="0" w:color="auto"/>
            <w:left w:val="none" w:sz="0" w:space="0" w:color="auto"/>
            <w:bottom w:val="none" w:sz="0" w:space="0" w:color="auto"/>
            <w:right w:val="none" w:sz="0" w:space="0" w:color="auto"/>
          </w:divBdr>
        </w:div>
      </w:divsChild>
    </w:div>
    <w:div w:id="1376466442">
      <w:bodyDiv w:val="1"/>
      <w:marLeft w:val="0"/>
      <w:marRight w:val="0"/>
      <w:marTop w:val="0"/>
      <w:marBottom w:val="0"/>
      <w:divBdr>
        <w:top w:val="none" w:sz="0" w:space="0" w:color="auto"/>
        <w:left w:val="none" w:sz="0" w:space="0" w:color="auto"/>
        <w:bottom w:val="none" w:sz="0" w:space="0" w:color="auto"/>
        <w:right w:val="none" w:sz="0" w:space="0" w:color="auto"/>
      </w:divBdr>
      <w:divsChild>
        <w:div w:id="110904967">
          <w:marLeft w:val="0"/>
          <w:marRight w:val="0"/>
          <w:marTop w:val="0"/>
          <w:marBottom w:val="0"/>
          <w:divBdr>
            <w:top w:val="none" w:sz="0" w:space="0" w:color="auto"/>
            <w:left w:val="none" w:sz="0" w:space="0" w:color="auto"/>
            <w:bottom w:val="none" w:sz="0" w:space="0" w:color="auto"/>
            <w:right w:val="none" w:sz="0" w:space="0" w:color="auto"/>
          </w:divBdr>
        </w:div>
      </w:divsChild>
    </w:div>
    <w:div w:id="1399549242">
      <w:bodyDiv w:val="1"/>
      <w:marLeft w:val="0"/>
      <w:marRight w:val="0"/>
      <w:marTop w:val="0"/>
      <w:marBottom w:val="0"/>
      <w:divBdr>
        <w:top w:val="none" w:sz="0" w:space="0" w:color="auto"/>
        <w:left w:val="none" w:sz="0" w:space="0" w:color="auto"/>
        <w:bottom w:val="none" w:sz="0" w:space="0" w:color="auto"/>
        <w:right w:val="none" w:sz="0" w:space="0" w:color="auto"/>
      </w:divBdr>
      <w:divsChild>
        <w:div w:id="923731757">
          <w:marLeft w:val="0"/>
          <w:marRight w:val="0"/>
          <w:marTop w:val="0"/>
          <w:marBottom w:val="0"/>
          <w:divBdr>
            <w:top w:val="none" w:sz="0" w:space="0" w:color="auto"/>
            <w:left w:val="none" w:sz="0" w:space="0" w:color="auto"/>
            <w:bottom w:val="none" w:sz="0" w:space="0" w:color="auto"/>
            <w:right w:val="none" w:sz="0" w:space="0" w:color="auto"/>
          </w:divBdr>
        </w:div>
      </w:divsChild>
    </w:div>
    <w:div w:id="1402484873">
      <w:bodyDiv w:val="1"/>
      <w:marLeft w:val="0"/>
      <w:marRight w:val="0"/>
      <w:marTop w:val="0"/>
      <w:marBottom w:val="0"/>
      <w:divBdr>
        <w:top w:val="none" w:sz="0" w:space="0" w:color="auto"/>
        <w:left w:val="none" w:sz="0" w:space="0" w:color="auto"/>
        <w:bottom w:val="none" w:sz="0" w:space="0" w:color="auto"/>
        <w:right w:val="none" w:sz="0" w:space="0" w:color="auto"/>
      </w:divBdr>
    </w:div>
    <w:div w:id="1411073308">
      <w:bodyDiv w:val="1"/>
      <w:marLeft w:val="0"/>
      <w:marRight w:val="0"/>
      <w:marTop w:val="0"/>
      <w:marBottom w:val="0"/>
      <w:divBdr>
        <w:top w:val="none" w:sz="0" w:space="0" w:color="auto"/>
        <w:left w:val="none" w:sz="0" w:space="0" w:color="auto"/>
        <w:bottom w:val="none" w:sz="0" w:space="0" w:color="auto"/>
        <w:right w:val="none" w:sz="0" w:space="0" w:color="auto"/>
      </w:divBdr>
      <w:divsChild>
        <w:div w:id="2137673065">
          <w:marLeft w:val="0"/>
          <w:marRight w:val="0"/>
          <w:marTop w:val="0"/>
          <w:marBottom w:val="0"/>
          <w:divBdr>
            <w:top w:val="none" w:sz="0" w:space="0" w:color="auto"/>
            <w:left w:val="none" w:sz="0" w:space="0" w:color="auto"/>
            <w:bottom w:val="none" w:sz="0" w:space="0" w:color="auto"/>
            <w:right w:val="none" w:sz="0" w:space="0" w:color="auto"/>
          </w:divBdr>
        </w:div>
      </w:divsChild>
    </w:div>
    <w:div w:id="1459030499">
      <w:bodyDiv w:val="1"/>
      <w:marLeft w:val="0"/>
      <w:marRight w:val="0"/>
      <w:marTop w:val="0"/>
      <w:marBottom w:val="0"/>
      <w:divBdr>
        <w:top w:val="none" w:sz="0" w:space="0" w:color="auto"/>
        <w:left w:val="none" w:sz="0" w:space="0" w:color="auto"/>
        <w:bottom w:val="none" w:sz="0" w:space="0" w:color="auto"/>
        <w:right w:val="none" w:sz="0" w:space="0" w:color="auto"/>
      </w:divBdr>
    </w:div>
    <w:div w:id="1466001077">
      <w:bodyDiv w:val="1"/>
      <w:marLeft w:val="0"/>
      <w:marRight w:val="0"/>
      <w:marTop w:val="0"/>
      <w:marBottom w:val="0"/>
      <w:divBdr>
        <w:top w:val="none" w:sz="0" w:space="0" w:color="auto"/>
        <w:left w:val="none" w:sz="0" w:space="0" w:color="auto"/>
        <w:bottom w:val="none" w:sz="0" w:space="0" w:color="auto"/>
        <w:right w:val="none" w:sz="0" w:space="0" w:color="auto"/>
      </w:divBdr>
    </w:div>
    <w:div w:id="1488981305">
      <w:bodyDiv w:val="1"/>
      <w:marLeft w:val="0"/>
      <w:marRight w:val="0"/>
      <w:marTop w:val="0"/>
      <w:marBottom w:val="0"/>
      <w:divBdr>
        <w:top w:val="none" w:sz="0" w:space="0" w:color="auto"/>
        <w:left w:val="none" w:sz="0" w:space="0" w:color="auto"/>
        <w:bottom w:val="none" w:sz="0" w:space="0" w:color="auto"/>
        <w:right w:val="none" w:sz="0" w:space="0" w:color="auto"/>
      </w:divBdr>
      <w:divsChild>
        <w:div w:id="684987916">
          <w:marLeft w:val="0"/>
          <w:marRight w:val="0"/>
          <w:marTop w:val="0"/>
          <w:marBottom w:val="0"/>
          <w:divBdr>
            <w:top w:val="none" w:sz="0" w:space="0" w:color="auto"/>
            <w:left w:val="none" w:sz="0" w:space="0" w:color="auto"/>
            <w:bottom w:val="none" w:sz="0" w:space="0" w:color="auto"/>
            <w:right w:val="none" w:sz="0" w:space="0" w:color="auto"/>
          </w:divBdr>
        </w:div>
      </w:divsChild>
    </w:div>
    <w:div w:id="1498420739">
      <w:bodyDiv w:val="1"/>
      <w:marLeft w:val="0"/>
      <w:marRight w:val="0"/>
      <w:marTop w:val="0"/>
      <w:marBottom w:val="0"/>
      <w:divBdr>
        <w:top w:val="none" w:sz="0" w:space="0" w:color="auto"/>
        <w:left w:val="none" w:sz="0" w:space="0" w:color="auto"/>
        <w:bottom w:val="none" w:sz="0" w:space="0" w:color="auto"/>
        <w:right w:val="none" w:sz="0" w:space="0" w:color="auto"/>
      </w:divBdr>
      <w:divsChild>
        <w:div w:id="1652128533">
          <w:marLeft w:val="0"/>
          <w:marRight w:val="0"/>
          <w:marTop w:val="0"/>
          <w:marBottom w:val="0"/>
          <w:divBdr>
            <w:top w:val="none" w:sz="0" w:space="0" w:color="auto"/>
            <w:left w:val="none" w:sz="0" w:space="0" w:color="auto"/>
            <w:bottom w:val="none" w:sz="0" w:space="0" w:color="auto"/>
            <w:right w:val="none" w:sz="0" w:space="0" w:color="auto"/>
          </w:divBdr>
        </w:div>
        <w:div w:id="1874806945">
          <w:marLeft w:val="0"/>
          <w:marRight w:val="0"/>
          <w:marTop w:val="0"/>
          <w:marBottom w:val="0"/>
          <w:divBdr>
            <w:top w:val="none" w:sz="0" w:space="0" w:color="auto"/>
            <w:left w:val="none" w:sz="0" w:space="0" w:color="auto"/>
            <w:bottom w:val="none" w:sz="0" w:space="0" w:color="auto"/>
            <w:right w:val="none" w:sz="0" w:space="0" w:color="auto"/>
          </w:divBdr>
        </w:div>
      </w:divsChild>
    </w:div>
    <w:div w:id="1524399108">
      <w:bodyDiv w:val="1"/>
      <w:marLeft w:val="0"/>
      <w:marRight w:val="0"/>
      <w:marTop w:val="0"/>
      <w:marBottom w:val="0"/>
      <w:divBdr>
        <w:top w:val="none" w:sz="0" w:space="0" w:color="auto"/>
        <w:left w:val="none" w:sz="0" w:space="0" w:color="auto"/>
        <w:bottom w:val="none" w:sz="0" w:space="0" w:color="auto"/>
        <w:right w:val="none" w:sz="0" w:space="0" w:color="auto"/>
      </w:divBdr>
    </w:div>
    <w:div w:id="1540506331">
      <w:bodyDiv w:val="1"/>
      <w:marLeft w:val="0"/>
      <w:marRight w:val="0"/>
      <w:marTop w:val="0"/>
      <w:marBottom w:val="0"/>
      <w:divBdr>
        <w:top w:val="none" w:sz="0" w:space="0" w:color="auto"/>
        <w:left w:val="none" w:sz="0" w:space="0" w:color="auto"/>
        <w:bottom w:val="none" w:sz="0" w:space="0" w:color="auto"/>
        <w:right w:val="none" w:sz="0" w:space="0" w:color="auto"/>
      </w:divBdr>
      <w:divsChild>
        <w:div w:id="722099706">
          <w:marLeft w:val="0"/>
          <w:marRight w:val="0"/>
          <w:marTop w:val="0"/>
          <w:marBottom w:val="0"/>
          <w:divBdr>
            <w:top w:val="none" w:sz="0" w:space="0" w:color="auto"/>
            <w:left w:val="none" w:sz="0" w:space="0" w:color="auto"/>
            <w:bottom w:val="none" w:sz="0" w:space="0" w:color="auto"/>
            <w:right w:val="none" w:sz="0" w:space="0" w:color="auto"/>
          </w:divBdr>
        </w:div>
      </w:divsChild>
    </w:div>
    <w:div w:id="1543900883">
      <w:bodyDiv w:val="1"/>
      <w:marLeft w:val="0"/>
      <w:marRight w:val="0"/>
      <w:marTop w:val="0"/>
      <w:marBottom w:val="0"/>
      <w:divBdr>
        <w:top w:val="none" w:sz="0" w:space="0" w:color="auto"/>
        <w:left w:val="none" w:sz="0" w:space="0" w:color="auto"/>
        <w:bottom w:val="none" w:sz="0" w:space="0" w:color="auto"/>
        <w:right w:val="none" w:sz="0" w:space="0" w:color="auto"/>
      </w:divBdr>
      <w:divsChild>
        <w:div w:id="1991592934">
          <w:marLeft w:val="0"/>
          <w:marRight w:val="0"/>
          <w:marTop w:val="0"/>
          <w:marBottom w:val="0"/>
          <w:divBdr>
            <w:top w:val="none" w:sz="0" w:space="0" w:color="auto"/>
            <w:left w:val="none" w:sz="0" w:space="0" w:color="auto"/>
            <w:bottom w:val="none" w:sz="0" w:space="0" w:color="auto"/>
            <w:right w:val="none" w:sz="0" w:space="0" w:color="auto"/>
          </w:divBdr>
        </w:div>
      </w:divsChild>
    </w:div>
    <w:div w:id="1577469891">
      <w:bodyDiv w:val="1"/>
      <w:marLeft w:val="0"/>
      <w:marRight w:val="0"/>
      <w:marTop w:val="0"/>
      <w:marBottom w:val="0"/>
      <w:divBdr>
        <w:top w:val="none" w:sz="0" w:space="0" w:color="auto"/>
        <w:left w:val="none" w:sz="0" w:space="0" w:color="auto"/>
        <w:bottom w:val="none" w:sz="0" w:space="0" w:color="auto"/>
        <w:right w:val="none" w:sz="0" w:space="0" w:color="auto"/>
      </w:divBdr>
    </w:div>
    <w:div w:id="1586573463">
      <w:bodyDiv w:val="1"/>
      <w:marLeft w:val="0"/>
      <w:marRight w:val="0"/>
      <w:marTop w:val="0"/>
      <w:marBottom w:val="0"/>
      <w:divBdr>
        <w:top w:val="none" w:sz="0" w:space="0" w:color="auto"/>
        <w:left w:val="none" w:sz="0" w:space="0" w:color="auto"/>
        <w:bottom w:val="none" w:sz="0" w:space="0" w:color="auto"/>
        <w:right w:val="none" w:sz="0" w:space="0" w:color="auto"/>
      </w:divBdr>
      <w:divsChild>
        <w:div w:id="667446312">
          <w:marLeft w:val="0"/>
          <w:marRight w:val="0"/>
          <w:marTop w:val="0"/>
          <w:marBottom w:val="0"/>
          <w:divBdr>
            <w:top w:val="none" w:sz="0" w:space="0" w:color="auto"/>
            <w:left w:val="none" w:sz="0" w:space="0" w:color="auto"/>
            <w:bottom w:val="none" w:sz="0" w:space="0" w:color="auto"/>
            <w:right w:val="none" w:sz="0" w:space="0" w:color="auto"/>
          </w:divBdr>
        </w:div>
      </w:divsChild>
    </w:div>
    <w:div w:id="1676956508">
      <w:bodyDiv w:val="1"/>
      <w:marLeft w:val="0"/>
      <w:marRight w:val="0"/>
      <w:marTop w:val="0"/>
      <w:marBottom w:val="0"/>
      <w:divBdr>
        <w:top w:val="none" w:sz="0" w:space="0" w:color="auto"/>
        <w:left w:val="none" w:sz="0" w:space="0" w:color="auto"/>
        <w:bottom w:val="none" w:sz="0" w:space="0" w:color="auto"/>
        <w:right w:val="none" w:sz="0" w:space="0" w:color="auto"/>
      </w:divBdr>
      <w:divsChild>
        <w:div w:id="414133464">
          <w:marLeft w:val="0"/>
          <w:marRight w:val="0"/>
          <w:marTop w:val="0"/>
          <w:marBottom w:val="0"/>
          <w:divBdr>
            <w:top w:val="none" w:sz="0" w:space="0" w:color="auto"/>
            <w:left w:val="none" w:sz="0" w:space="0" w:color="auto"/>
            <w:bottom w:val="none" w:sz="0" w:space="0" w:color="auto"/>
            <w:right w:val="none" w:sz="0" w:space="0" w:color="auto"/>
          </w:divBdr>
        </w:div>
      </w:divsChild>
    </w:div>
    <w:div w:id="1689721993">
      <w:bodyDiv w:val="1"/>
      <w:marLeft w:val="0"/>
      <w:marRight w:val="0"/>
      <w:marTop w:val="0"/>
      <w:marBottom w:val="0"/>
      <w:divBdr>
        <w:top w:val="none" w:sz="0" w:space="0" w:color="auto"/>
        <w:left w:val="none" w:sz="0" w:space="0" w:color="auto"/>
        <w:bottom w:val="none" w:sz="0" w:space="0" w:color="auto"/>
        <w:right w:val="none" w:sz="0" w:space="0" w:color="auto"/>
      </w:divBdr>
      <w:divsChild>
        <w:div w:id="1883520981">
          <w:marLeft w:val="0"/>
          <w:marRight w:val="0"/>
          <w:marTop w:val="0"/>
          <w:marBottom w:val="0"/>
          <w:divBdr>
            <w:top w:val="none" w:sz="0" w:space="0" w:color="auto"/>
            <w:left w:val="none" w:sz="0" w:space="0" w:color="auto"/>
            <w:bottom w:val="none" w:sz="0" w:space="0" w:color="auto"/>
            <w:right w:val="none" w:sz="0" w:space="0" w:color="auto"/>
          </w:divBdr>
        </w:div>
      </w:divsChild>
    </w:div>
    <w:div w:id="1690987688">
      <w:bodyDiv w:val="1"/>
      <w:marLeft w:val="0"/>
      <w:marRight w:val="0"/>
      <w:marTop w:val="0"/>
      <w:marBottom w:val="0"/>
      <w:divBdr>
        <w:top w:val="none" w:sz="0" w:space="0" w:color="auto"/>
        <w:left w:val="none" w:sz="0" w:space="0" w:color="auto"/>
        <w:bottom w:val="none" w:sz="0" w:space="0" w:color="auto"/>
        <w:right w:val="none" w:sz="0" w:space="0" w:color="auto"/>
      </w:divBdr>
      <w:divsChild>
        <w:div w:id="1098911184">
          <w:marLeft w:val="0"/>
          <w:marRight w:val="0"/>
          <w:marTop w:val="0"/>
          <w:marBottom w:val="0"/>
          <w:divBdr>
            <w:top w:val="none" w:sz="0" w:space="0" w:color="auto"/>
            <w:left w:val="none" w:sz="0" w:space="0" w:color="auto"/>
            <w:bottom w:val="none" w:sz="0" w:space="0" w:color="auto"/>
            <w:right w:val="none" w:sz="0" w:space="0" w:color="auto"/>
          </w:divBdr>
        </w:div>
      </w:divsChild>
    </w:div>
    <w:div w:id="1694186666">
      <w:bodyDiv w:val="1"/>
      <w:marLeft w:val="0"/>
      <w:marRight w:val="0"/>
      <w:marTop w:val="0"/>
      <w:marBottom w:val="0"/>
      <w:divBdr>
        <w:top w:val="none" w:sz="0" w:space="0" w:color="auto"/>
        <w:left w:val="none" w:sz="0" w:space="0" w:color="auto"/>
        <w:bottom w:val="none" w:sz="0" w:space="0" w:color="auto"/>
        <w:right w:val="none" w:sz="0" w:space="0" w:color="auto"/>
      </w:divBdr>
      <w:divsChild>
        <w:div w:id="1494951127">
          <w:marLeft w:val="0"/>
          <w:marRight w:val="0"/>
          <w:marTop w:val="0"/>
          <w:marBottom w:val="0"/>
          <w:divBdr>
            <w:top w:val="none" w:sz="0" w:space="0" w:color="auto"/>
            <w:left w:val="none" w:sz="0" w:space="0" w:color="auto"/>
            <w:bottom w:val="none" w:sz="0" w:space="0" w:color="auto"/>
            <w:right w:val="none" w:sz="0" w:space="0" w:color="auto"/>
          </w:divBdr>
        </w:div>
      </w:divsChild>
    </w:div>
    <w:div w:id="1702168889">
      <w:bodyDiv w:val="1"/>
      <w:marLeft w:val="0"/>
      <w:marRight w:val="0"/>
      <w:marTop w:val="0"/>
      <w:marBottom w:val="0"/>
      <w:divBdr>
        <w:top w:val="none" w:sz="0" w:space="0" w:color="auto"/>
        <w:left w:val="none" w:sz="0" w:space="0" w:color="auto"/>
        <w:bottom w:val="none" w:sz="0" w:space="0" w:color="auto"/>
        <w:right w:val="none" w:sz="0" w:space="0" w:color="auto"/>
      </w:divBdr>
    </w:div>
    <w:div w:id="1716810476">
      <w:bodyDiv w:val="1"/>
      <w:marLeft w:val="0"/>
      <w:marRight w:val="0"/>
      <w:marTop w:val="0"/>
      <w:marBottom w:val="0"/>
      <w:divBdr>
        <w:top w:val="none" w:sz="0" w:space="0" w:color="auto"/>
        <w:left w:val="none" w:sz="0" w:space="0" w:color="auto"/>
        <w:bottom w:val="none" w:sz="0" w:space="0" w:color="auto"/>
        <w:right w:val="none" w:sz="0" w:space="0" w:color="auto"/>
      </w:divBdr>
    </w:div>
    <w:div w:id="1727609336">
      <w:bodyDiv w:val="1"/>
      <w:marLeft w:val="0"/>
      <w:marRight w:val="0"/>
      <w:marTop w:val="0"/>
      <w:marBottom w:val="0"/>
      <w:divBdr>
        <w:top w:val="none" w:sz="0" w:space="0" w:color="auto"/>
        <w:left w:val="none" w:sz="0" w:space="0" w:color="auto"/>
        <w:bottom w:val="none" w:sz="0" w:space="0" w:color="auto"/>
        <w:right w:val="none" w:sz="0" w:space="0" w:color="auto"/>
      </w:divBdr>
    </w:div>
    <w:div w:id="1741058777">
      <w:bodyDiv w:val="1"/>
      <w:marLeft w:val="0"/>
      <w:marRight w:val="0"/>
      <w:marTop w:val="0"/>
      <w:marBottom w:val="0"/>
      <w:divBdr>
        <w:top w:val="none" w:sz="0" w:space="0" w:color="auto"/>
        <w:left w:val="none" w:sz="0" w:space="0" w:color="auto"/>
        <w:bottom w:val="none" w:sz="0" w:space="0" w:color="auto"/>
        <w:right w:val="none" w:sz="0" w:space="0" w:color="auto"/>
      </w:divBdr>
      <w:divsChild>
        <w:div w:id="1647473034">
          <w:marLeft w:val="0"/>
          <w:marRight w:val="0"/>
          <w:marTop w:val="0"/>
          <w:marBottom w:val="0"/>
          <w:divBdr>
            <w:top w:val="none" w:sz="0" w:space="0" w:color="auto"/>
            <w:left w:val="none" w:sz="0" w:space="0" w:color="auto"/>
            <w:bottom w:val="none" w:sz="0" w:space="0" w:color="auto"/>
            <w:right w:val="none" w:sz="0" w:space="0" w:color="auto"/>
          </w:divBdr>
        </w:div>
      </w:divsChild>
    </w:div>
    <w:div w:id="1751808013">
      <w:bodyDiv w:val="1"/>
      <w:marLeft w:val="0"/>
      <w:marRight w:val="0"/>
      <w:marTop w:val="0"/>
      <w:marBottom w:val="0"/>
      <w:divBdr>
        <w:top w:val="none" w:sz="0" w:space="0" w:color="auto"/>
        <w:left w:val="none" w:sz="0" w:space="0" w:color="auto"/>
        <w:bottom w:val="none" w:sz="0" w:space="0" w:color="auto"/>
        <w:right w:val="none" w:sz="0" w:space="0" w:color="auto"/>
      </w:divBdr>
    </w:div>
    <w:div w:id="1753044056">
      <w:bodyDiv w:val="1"/>
      <w:marLeft w:val="0"/>
      <w:marRight w:val="0"/>
      <w:marTop w:val="0"/>
      <w:marBottom w:val="0"/>
      <w:divBdr>
        <w:top w:val="none" w:sz="0" w:space="0" w:color="auto"/>
        <w:left w:val="none" w:sz="0" w:space="0" w:color="auto"/>
        <w:bottom w:val="none" w:sz="0" w:space="0" w:color="auto"/>
        <w:right w:val="none" w:sz="0" w:space="0" w:color="auto"/>
      </w:divBdr>
    </w:div>
    <w:div w:id="1764103797">
      <w:bodyDiv w:val="1"/>
      <w:marLeft w:val="0"/>
      <w:marRight w:val="0"/>
      <w:marTop w:val="0"/>
      <w:marBottom w:val="0"/>
      <w:divBdr>
        <w:top w:val="none" w:sz="0" w:space="0" w:color="auto"/>
        <w:left w:val="none" w:sz="0" w:space="0" w:color="auto"/>
        <w:bottom w:val="none" w:sz="0" w:space="0" w:color="auto"/>
        <w:right w:val="none" w:sz="0" w:space="0" w:color="auto"/>
      </w:divBdr>
      <w:divsChild>
        <w:div w:id="492264417">
          <w:marLeft w:val="0"/>
          <w:marRight w:val="0"/>
          <w:marTop w:val="0"/>
          <w:marBottom w:val="0"/>
          <w:divBdr>
            <w:top w:val="none" w:sz="0" w:space="0" w:color="auto"/>
            <w:left w:val="none" w:sz="0" w:space="0" w:color="auto"/>
            <w:bottom w:val="none" w:sz="0" w:space="0" w:color="auto"/>
            <w:right w:val="none" w:sz="0" w:space="0" w:color="auto"/>
          </w:divBdr>
        </w:div>
      </w:divsChild>
    </w:div>
    <w:div w:id="1800148744">
      <w:bodyDiv w:val="1"/>
      <w:marLeft w:val="0"/>
      <w:marRight w:val="0"/>
      <w:marTop w:val="0"/>
      <w:marBottom w:val="0"/>
      <w:divBdr>
        <w:top w:val="none" w:sz="0" w:space="0" w:color="auto"/>
        <w:left w:val="none" w:sz="0" w:space="0" w:color="auto"/>
        <w:bottom w:val="none" w:sz="0" w:space="0" w:color="auto"/>
        <w:right w:val="none" w:sz="0" w:space="0" w:color="auto"/>
      </w:divBdr>
    </w:div>
    <w:div w:id="1856571391">
      <w:bodyDiv w:val="1"/>
      <w:marLeft w:val="0"/>
      <w:marRight w:val="0"/>
      <w:marTop w:val="0"/>
      <w:marBottom w:val="0"/>
      <w:divBdr>
        <w:top w:val="none" w:sz="0" w:space="0" w:color="auto"/>
        <w:left w:val="none" w:sz="0" w:space="0" w:color="auto"/>
        <w:bottom w:val="none" w:sz="0" w:space="0" w:color="auto"/>
        <w:right w:val="none" w:sz="0" w:space="0" w:color="auto"/>
      </w:divBdr>
    </w:div>
    <w:div w:id="1858032084">
      <w:bodyDiv w:val="1"/>
      <w:marLeft w:val="0"/>
      <w:marRight w:val="0"/>
      <w:marTop w:val="0"/>
      <w:marBottom w:val="0"/>
      <w:divBdr>
        <w:top w:val="none" w:sz="0" w:space="0" w:color="auto"/>
        <w:left w:val="none" w:sz="0" w:space="0" w:color="auto"/>
        <w:bottom w:val="none" w:sz="0" w:space="0" w:color="auto"/>
        <w:right w:val="none" w:sz="0" w:space="0" w:color="auto"/>
      </w:divBdr>
      <w:divsChild>
        <w:div w:id="752891911">
          <w:marLeft w:val="0"/>
          <w:marRight w:val="0"/>
          <w:marTop w:val="0"/>
          <w:marBottom w:val="0"/>
          <w:divBdr>
            <w:top w:val="none" w:sz="0" w:space="0" w:color="auto"/>
            <w:left w:val="none" w:sz="0" w:space="0" w:color="auto"/>
            <w:bottom w:val="none" w:sz="0" w:space="0" w:color="auto"/>
            <w:right w:val="none" w:sz="0" w:space="0" w:color="auto"/>
          </w:divBdr>
        </w:div>
      </w:divsChild>
    </w:div>
    <w:div w:id="1871844576">
      <w:bodyDiv w:val="1"/>
      <w:marLeft w:val="0"/>
      <w:marRight w:val="0"/>
      <w:marTop w:val="0"/>
      <w:marBottom w:val="0"/>
      <w:divBdr>
        <w:top w:val="none" w:sz="0" w:space="0" w:color="auto"/>
        <w:left w:val="none" w:sz="0" w:space="0" w:color="auto"/>
        <w:bottom w:val="none" w:sz="0" w:space="0" w:color="auto"/>
        <w:right w:val="none" w:sz="0" w:space="0" w:color="auto"/>
      </w:divBdr>
    </w:div>
    <w:div w:id="1904023136">
      <w:bodyDiv w:val="1"/>
      <w:marLeft w:val="0"/>
      <w:marRight w:val="0"/>
      <w:marTop w:val="0"/>
      <w:marBottom w:val="0"/>
      <w:divBdr>
        <w:top w:val="none" w:sz="0" w:space="0" w:color="auto"/>
        <w:left w:val="none" w:sz="0" w:space="0" w:color="auto"/>
        <w:bottom w:val="none" w:sz="0" w:space="0" w:color="auto"/>
        <w:right w:val="none" w:sz="0" w:space="0" w:color="auto"/>
      </w:divBdr>
      <w:divsChild>
        <w:div w:id="1156527791">
          <w:marLeft w:val="0"/>
          <w:marRight w:val="0"/>
          <w:marTop w:val="0"/>
          <w:marBottom w:val="0"/>
          <w:divBdr>
            <w:top w:val="none" w:sz="0" w:space="0" w:color="auto"/>
            <w:left w:val="none" w:sz="0" w:space="0" w:color="auto"/>
            <w:bottom w:val="none" w:sz="0" w:space="0" w:color="auto"/>
            <w:right w:val="none" w:sz="0" w:space="0" w:color="auto"/>
          </w:divBdr>
        </w:div>
      </w:divsChild>
    </w:div>
    <w:div w:id="2019698608">
      <w:bodyDiv w:val="1"/>
      <w:marLeft w:val="0"/>
      <w:marRight w:val="0"/>
      <w:marTop w:val="0"/>
      <w:marBottom w:val="0"/>
      <w:divBdr>
        <w:top w:val="none" w:sz="0" w:space="0" w:color="auto"/>
        <w:left w:val="none" w:sz="0" w:space="0" w:color="auto"/>
        <w:bottom w:val="none" w:sz="0" w:space="0" w:color="auto"/>
        <w:right w:val="none" w:sz="0" w:space="0" w:color="auto"/>
      </w:divBdr>
      <w:divsChild>
        <w:div w:id="180047143">
          <w:marLeft w:val="0"/>
          <w:marRight w:val="0"/>
          <w:marTop w:val="0"/>
          <w:marBottom w:val="0"/>
          <w:divBdr>
            <w:top w:val="none" w:sz="0" w:space="0" w:color="auto"/>
            <w:left w:val="none" w:sz="0" w:space="0" w:color="auto"/>
            <w:bottom w:val="none" w:sz="0" w:space="0" w:color="auto"/>
            <w:right w:val="none" w:sz="0" w:space="0" w:color="auto"/>
          </w:divBdr>
          <w:divsChild>
            <w:div w:id="9110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62648">
      <w:bodyDiv w:val="1"/>
      <w:marLeft w:val="0"/>
      <w:marRight w:val="0"/>
      <w:marTop w:val="0"/>
      <w:marBottom w:val="0"/>
      <w:divBdr>
        <w:top w:val="none" w:sz="0" w:space="0" w:color="auto"/>
        <w:left w:val="none" w:sz="0" w:space="0" w:color="auto"/>
        <w:bottom w:val="none" w:sz="0" w:space="0" w:color="auto"/>
        <w:right w:val="none" w:sz="0" w:space="0" w:color="auto"/>
      </w:divBdr>
    </w:div>
    <w:div w:id="2049450289">
      <w:bodyDiv w:val="1"/>
      <w:marLeft w:val="0"/>
      <w:marRight w:val="0"/>
      <w:marTop w:val="0"/>
      <w:marBottom w:val="0"/>
      <w:divBdr>
        <w:top w:val="none" w:sz="0" w:space="0" w:color="auto"/>
        <w:left w:val="none" w:sz="0" w:space="0" w:color="auto"/>
        <w:bottom w:val="none" w:sz="0" w:space="0" w:color="auto"/>
        <w:right w:val="none" w:sz="0" w:space="0" w:color="auto"/>
      </w:divBdr>
      <w:divsChild>
        <w:div w:id="271788365">
          <w:marLeft w:val="0"/>
          <w:marRight w:val="0"/>
          <w:marTop w:val="0"/>
          <w:marBottom w:val="0"/>
          <w:divBdr>
            <w:top w:val="none" w:sz="0" w:space="0" w:color="auto"/>
            <w:left w:val="none" w:sz="0" w:space="0" w:color="auto"/>
            <w:bottom w:val="none" w:sz="0" w:space="0" w:color="auto"/>
            <w:right w:val="none" w:sz="0" w:space="0" w:color="auto"/>
          </w:divBdr>
        </w:div>
      </w:divsChild>
    </w:div>
    <w:div w:id="2092581773">
      <w:bodyDiv w:val="1"/>
      <w:marLeft w:val="0"/>
      <w:marRight w:val="0"/>
      <w:marTop w:val="0"/>
      <w:marBottom w:val="0"/>
      <w:divBdr>
        <w:top w:val="none" w:sz="0" w:space="0" w:color="auto"/>
        <w:left w:val="none" w:sz="0" w:space="0" w:color="auto"/>
        <w:bottom w:val="none" w:sz="0" w:space="0" w:color="auto"/>
        <w:right w:val="none" w:sz="0" w:space="0" w:color="auto"/>
      </w:divBdr>
    </w:div>
    <w:div w:id="2097945007">
      <w:bodyDiv w:val="1"/>
      <w:marLeft w:val="0"/>
      <w:marRight w:val="0"/>
      <w:marTop w:val="0"/>
      <w:marBottom w:val="0"/>
      <w:divBdr>
        <w:top w:val="none" w:sz="0" w:space="0" w:color="auto"/>
        <w:left w:val="none" w:sz="0" w:space="0" w:color="auto"/>
        <w:bottom w:val="none" w:sz="0" w:space="0" w:color="auto"/>
        <w:right w:val="none" w:sz="0" w:space="0" w:color="auto"/>
      </w:divBdr>
      <w:divsChild>
        <w:div w:id="857618633">
          <w:marLeft w:val="0"/>
          <w:marRight w:val="0"/>
          <w:marTop w:val="0"/>
          <w:marBottom w:val="0"/>
          <w:divBdr>
            <w:top w:val="none" w:sz="0" w:space="0" w:color="auto"/>
            <w:left w:val="none" w:sz="0" w:space="0" w:color="auto"/>
            <w:bottom w:val="none" w:sz="0" w:space="0" w:color="auto"/>
            <w:right w:val="none" w:sz="0" w:space="0" w:color="auto"/>
          </w:divBdr>
        </w:div>
      </w:divsChild>
    </w:div>
    <w:div w:id="2123109766">
      <w:bodyDiv w:val="1"/>
      <w:marLeft w:val="0"/>
      <w:marRight w:val="0"/>
      <w:marTop w:val="0"/>
      <w:marBottom w:val="0"/>
      <w:divBdr>
        <w:top w:val="none" w:sz="0" w:space="0" w:color="auto"/>
        <w:left w:val="none" w:sz="0" w:space="0" w:color="auto"/>
        <w:bottom w:val="none" w:sz="0" w:space="0" w:color="auto"/>
        <w:right w:val="none" w:sz="0" w:space="0" w:color="auto"/>
      </w:divBdr>
    </w:div>
    <w:div w:id="2134666769">
      <w:bodyDiv w:val="1"/>
      <w:marLeft w:val="0"/>
      <w:marRight w:val="0"/>
      <w:marTop w:val="0"/>
      <w:marBottom w:val="0"/>
      <w:divBdr>
        <w:top w:val="none" w:sz="0" w:space="0" w:color="auto"/>
        <w:left w:val="none" w:sz="0" w:space="0" w:color="auto"/>
        <w:bottom w:val="none" w:sz="0" w:space="0" w:color="auto"/>
        <w:right w:val="none" w:sz="0" w:space="0" w:color="auto"/>
      </w:divBdr>
      <w:divsChild>
        <w:div w:id="2127649131">
          <w:marLeft w:val="0"/>
          <w:marRight w:val="0"/>
          <w:marTop w:val="0"/>
          <w:marBottom w:val="0"/>
          <w:divBdr>
            <w:top w:val="none" w:sz="0" w:space="0" w:color="auto"/>
            <w:left w:val="none" w:sz="0" w:space="0" w:color="auto"/>
            <w:bottom w:val="none" w:sz="0" w:space="0" w:color="auto"/>
            <w:right w:val="none" w:sz="0" w:space="0" w:color="auto"/>
          </w:divBdr>
        </w:div>
      </w:divsChild>
    </w:div>
    <w:div w:id="2137748307">
      <w:bodyDiv w:val="1"/>
      <w:marLeft w:val="0"/>
      <w:marRight w:val="0"/>
      <w:marTop w:val="0"/>
      <w:marBottom w:val="0"/>
      <w:divBdr>
        <w:top w:val="none" w:sz="0" w:space="0" w:color="auto"/>
        <w:left w:val="none" w:sz="0" w:space="0" w:color="auto"/>
        <w:bottom w:val="none" w:sz="0" w:space="0" w:color="auto"/>
        <w:right w:val="none" w:sz="0" w:space="0" w:color="auto"/>
      </w:divBdr>
      <w:divsChild>
        <w:div w:id="468018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jfmte/?view_only=825938bb4c7547b195da865986ab919f" TargetMode="External"/><Relationship Id="rId13" Type="http://schemas.openxmlformats.org/officeDocument/2006/relationships/image" Target="media/image3.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s://doi.org/10.4135/9781446249222.n39"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osf.io/jfmte/?view_only=825938bb4c7547b195da865986ab919f"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osf.io/jfmte/?view_only=825938bb4c7547b195da865986ab919f" TargetMode="External"/><Relationship Id="rId14" Type="http://schemas.openxmlformats.org/officeDocument/2006/relationships/image" Target="media/image4.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mir.sepehri\Documents\Hardisty%20Project\Copy%20of%20graphs-JDM.xl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Sheet1!$L$3</c:f>
              <c:strCache>
                <c:ptCount val="1"/>
                <c:pt idx="0">
                  <c:v>Precommitment</c:v>
                </c:pt>
              </c:strCache>
            </c:strRef>
          </c:tx>
          <c:spPr>
            <a:solidFill>
              <a:schemeClr val="bg1"/>
            </a:solidFill>
            <a:ln w="12700" cap="rnd">
              <a:solidFill>
                <a:schemeClr val="tx1"/>
              </a:solidFill>
              <a:prstDash val="solid"/>
              <a:round/>
            </a:ln>
            <a:effectLst/>
          </c:spPr>
          <c:invertIfNegative val="0"/>
          <c:errBars>
            <c:errBarType val="both"/>
            <c:errValType val="cust"/>
            <c:noEndCap val="0"/>
            <c:plus>
              <c:numRef>
                <c:f>Sheet1!$L$11</c:f>
                <c:numCache>
                  <c:formatCode>General</c:formatCode>
                  <c:ptCount val="1"/>
                  <c:pt idx="0">
                    <c:v>3.175E-2</c:v>
                  </c:pt>
                </c:numCache>
              </c:numRef>
            </c:plus>
            <c:minus>
              <c:numRef>
                <c:f>Sheet1!$L$11</c:f>
                <c:numCache>
                  <c:formatCode>General</c:formatCode>
                  <c:ptCount val="1"/>
                  <c:pt idx="0">
                    <c:v>3.175E-2</c:v>
                  </c:pt>
                </c:numCache>
              </c:numRef>
            </c:minus>
          </c:errBars>
          <c:cat>
            <c:strRef>
              <c:f>Sheet1!$K$4:$K$5</c:f>
              <c:strCache>
                <c:ptCount val="2"/>
                <c:pt idx="0">
                  <c:v>DPD</c:v>
                </c:pt>
                <c:pt idx="1">
                  <c:v>SPD</c:v>
                </c:pt>
              </c:strCache>
            </c:strRef>
          </c:cat>
          <c:val>
            <c:numRef>
              <c:f>Sheet1!$L$4:$L$5</c:f>
              <c:numCache>
                <c:formatCode>General</c:formatCode>
                <c:ptCount val="2"/>
                <c:pt idx="0">
                  <c:v>0.42457499999999998</c:v>
                </c:pt>
                <c:pt idx="1">
                  <c:v>0.48085</c:v>
                </c:pt>
              </c:numCache>
            </c:numRef>
          </c:val>
          <c:extLst>
            <c:ext xmlns:c16="http://schemas.microsoft.com/office/drawing/2014/chart" uri="{C3380CC4-5D6E-409C-BE32-E72D297353CC}">
              <c16:uniqueId val="{00000000-E38D-4DA1-B904-F0DC3E3CA85B}"/>
            </c:ext>
          </c:extLst>
        </c:ser>
        <c:ser>
          <c:idx val="1"/>
          <c:order val="1"/>
          <c:tx>
            <c:strRef>
              <c:f>Sheet1!$M$3</c:f>
              <c:strCache>
                <c:ptCount val="1"/>
                <c:pt idx="0">
                  <c:v>Repeated</c:v>
                </c:pt>
              </c:strCache>
            </c:strRef>
          </c:tx>
          <c:spPr>
            <a:solidFill>
              <a:schemeClr val="tx1">
                <a:lumMod val="50000"/>
                <a:lumOff val="50000"/>
              </a:schemeClr>
            </a:solidFill>
            <a:ln w="12700" cap="rnd">
              <a:solidFill>
                <a:schemeClr val="tx1"/>
              </a:solidFill>
              <a:prstDash val="solid"/>
              <a:round/>
            </a:ln>
            <a:effectLst/>
          </c:spPr>
          <c:invertIfNegative val="0"/>
          <c:errBars>
            <c:errBarType val="both"/>
            <c:errValType val="cust"/>
            <c:noEndCap val="0"/>
            <c:plus>
              <c:numRef>
                <c:f>Sheet1!$M$11</c:f>
                <c:numCache>
                  <c:formatCode>General</c:formatCode>
                  <c:ptCount val="1"/>
                  <c:pt idx="0">
                    <c:v>2.0250000000000001E-2</c:v>
                  </c:pt>
                </c:numCache>
              </c:numRef>
            </c:plus>
            <c:minus>
              <c:numRef>
                <c:f>Sheet1!$M$11</c:f>
                <c:numCache>
                  <c:formatCode>General</c:formatCode>
                  <c:ptCount val="1"/>
                  <c:pt idx="0">
                    <c:v>2.0250000000000001E-2</c:v>
                  </c:pt>
                </c:numCache>
              </c:numRef>
            </c:minus>
          </c:errBars>
          <c:cat>
            <c:strRef>
              <c:f>Sheet1!$K$4:$K$5</c:f>
              <c:strCache>
                <c:ptCount val="2"/>
                <c:pt idx="0">
                  <c:v>DPD</c:v>
                </c:pt>
                <c:pt idx="1">
                  <c:v>SPD</c:v>
                </c:pt>
              </c:strCache>
            </c:strRef>
          </c:cat>
          <c:val>
            <c:numRef>
              <c:f>Sheet1!$M$4:$M$5</c:f>
              <c:numCache>
                <c:formatCode>General</c:formatCode>
                <c:ptCount val="2"/>
                <c:pt idx="0">
                  <c:v>0.79554999999999998</c:v>
                </c:pt>
                <c:pt idx="1">
                  <c:v>0.28739999999999999</c:v>
                </c:pt>
              </c:numCache>
            </c:numRef>
          </c:val>
          <c:extLst>
            <c:ext xmlns:c16="http://schemas.microsoft.com/office/drawing/2014/chart" uri="{C3380CC4-5D6E-409C-BE32-E72D297353CC}">
              <c16:uniqueId val="{00000001-E38D-4DA1-B904-F0DC3E3CA85B}"/>
            </c:ext>
          </c:extLst>
        </c:ser>
        <c:dLbls>
          <c:showLegendKey val="0"/>
          <c:showVal val="0"/>
          <c:showCatName val="0"/>
          <c:showSerName val="0"/>
          <c:showPercent val="0"/>
          <c:showBubbleSize val="0"/>
        </c:dLbls>
        <c:gapWidth val="150"/>
        <c:axId val="-1986197504"/>
        <c:axId val="-1986204576"/>
      </c:barChart>
      <c:catAx>
        <c:axId val="-198619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986204576"/>
        <c:crosses val="autoZero"/>
        <c:auto val="1"/>
        <c:lblAlgn val="ctr"/>
        <c:lblOffset val="100"/>
        <c:noMultiLvlLbl val="0"/>
      </c:catAx>
      <c:valAx>
        <c:axId val="-1986204576"/>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Mean Investment Proportion</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1986197504"/>
        <c:crosses val="autoZero"/>
        <c:crossBetween val="between"/>
      </c:valAx>
      <c:spPr>
        <a:noFill/>
        <a:ln w="25400">
          <a:noFill/>
        </a:ln>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Sheet1!$B$5</c:f>
              <c:strCache>
                <c:ptCount val="1"/>
                <c:pt idx="0">
                  <c:v>SPD-Rep</c:v>
                </c:pt>
              </c:strCache>
            </c:strRef>
          </c:tx>
          <c:spPr>
            <a:ln w="28575" cap="rnd">
              <a:solidFill>
                <a:schemeClr val="tx1"/>
              </a:solidFill>
              <a:prstDash val="dashDot"/>
              <a:round/>
            </a:ln>
            <a:effectLst/>
          </c:spPr>
          <c:marker>
            <c:symbol val="none"/>
          </c:marker>
          <c:errBars>
            <c:errDir val="y"/>
            <c:errBarType val="both"/>
            <c:errValType val="cust"/>
            <c:noEndCap val="0"/>
            <c:plus>
              <c:numRef>
                <c:f>Sheet1!$G$5:$I$5</c:f>
                <c:numCache>
                  <c:formatCode>General</c:formatCode>
                  <c:ptCount val="3"/>
                  <c:pt idx="0">
                    <c:v>0.04</c:v>
                  </c:pt>
                  <c:pt idx="1">
                    <c:v>0.05</c:v>
                  </c:pt>
                  <c:pt idx="2">
                    <c:v>0.04</c:v>
                  </c:pt>
                </c:numCache>
              </c:numRef>
            </c:plus>
            <c:minus>
              <c:numRef>
                <c:f>Sheet1!$G$5:$I$5</c:f>
                <c:numCache>
                  <c:formatCode>General</c:formatCode>
                  <c:ptCount val="3"/>
                  <c:pt idx="0">
                    <c:v>0.04</c:v>
                  </c:pt>
                  <c:pt idx="1">
                    <c:v>0.05</c:v>
                  </c:pt>
                  <c:pt idx="2">
                    <c:v>0.04</c:v>
                  </c:pt>
                </c:numCache>
              </c:numRef>
            </c:minus>
            <c:spPr>
              <a:noFill/>
              <a:ln w="9525" cap="flat" cmpd="sng" algn="ctr">
                <a:solidFill>
                  <a:schemeClr val="tx1">
                    <a:lumMod val="65000"/>
                    <a:lumOff val="35000"/>
                  </a:schemeClr>
                </a:solidFill>
                <a:round/>
              </a:ln>
              <a:effectLst/>
            </c:spPr>
          </c:errBars>
          <c:cat>
            <c:strRef>
              <c:f>Sheet1!$C$4:$E$4</c:f>
              <c:strCache>
                <c:ptCount val="3"/>
                <c:pt idx="0">
                  <c:v>Block 1</c:v>
                </c:pt>
                <c:pt idx="1">
                  <c:v>Block 2</c:v>
                </c:pt>
                <c:pt idx="2">
                  <c:v>Block 3</c:v>
                </c:pt>
              </c:strCache>
            </c:strRef>
          </c:cat>
          <c:val>
            <c:numRef>
              <c:f>Sheet1!$C$5:$E$5</c:f>
              <c:numCache>
                <c:formatCode>General</c:formatCode>
                <c:ptCount val="3"/>
                <c:pt idx="0">
                  <c:v>0.35</c:v>
                </c:pt>
                <c:pt idx="1">
                  <c:v>0.28999999999999998</c:v>
                </c:pt>
                <c:pt idx="2">
                  <c:v>0.28999999999999998</c:v>
                </c:pt>
              </c:numCache>
            </c:numRef>
          </c:val>
          <c:smooth val="0"/>
          <c:extLst>
            <c:ext xmlns:c16="http://schemas.microsoft.com/office/drawing/2014/chart" uri="{C3380CC4-5D6E-409C-BE32-E72D297353CC}">
              <c16:uniqueId val="{00000000-B0A0-405B-B6B5-F454D3F8E4B7}"/>
            </c:ext>
          </c:extLst>
        </c:ser>
        <c:ser>
          <c:idx val="1"/>
          <c:order val="1"/>
          <c:tx>
            <c:strRef>
              <c:f>Sheet1!$B$6</c:f>
              <c:strCache>
                <c:ptCount val="1"/>
                <c:pt idx="0">
                  <c:v>SPD-Pre-Bind</c:v>
                </c:pt>
              </c:strCache>
            </c:strRef>
          </c:tx>
          <c:spPr>
            <a:ln w="28575" cap="rnd">
              <a:solidFill>
                <a:schemeClr val="tx1"/>
              </a:solidFill>
              <a:prstDash val="dash"/>
              <a:round/>
            </a:ln>
            <a:effectLst/>
          </c:spPr>
          <c:marker>
            <c:symbol val="none"/>
          </c:marker>
          <c:errBars>
            <c:errDir val="y"/>
            <c:errBarType val="both"/>
            <c:errValType val="cust"/>
            <c:noEndCap val="0"/>
            <c:plus>
              <c:numRef>
                <c:f>Sheet1!$G$6:$I$6</c:f>
                <c:numCache>
                  <c:formatCode>General</c:formatCode>
                  <c:ptCount val="3"/>
                  <c:pt idx="0">
                    <c:v>0.05</c:v>
                  </c:pt>
                  <c:pt idx="1">
                    <c:v>0.05</c:v>
                  </c:pt>
                  <c:pt idx="2">
                    <c:v>0.05</c:v>
                  </c:pt>
                </c:numCache>
              </c:numRef>
            </c:plus>
            <c:minus>
              <c:numRef>
                <c:f>Sheet1!$G$6:$I$6</c:f>
                <c:numCache>
                  <c:formatCode>General</c:formatCode>
                  <c:ptCount val="3"/>
                  <c:pt idx="0">
                    <c:v>0.05</c:v>
                  </c:pt>
                  <c:pt idx="1">
                    <c:v>0.05</c:v>
                  </c:pt>
                  <c:pt idx="2">
                    <c:v>0.05</c:v>
                  </c:pt>
                </c:numCache>
              </c:numRef>
            </c:minus>
            <c:spPr>
              <a:noFill/>
              <a:ln w="9525" cap="flat" cmpd="sng" algn="ctr">
                <a:solidFill>
                  <a:schemeClr val="tx1">
                    <a:lumMod val="65000"/>
                    <a:lumOff val="35000"/>
                  </a:schemeClr>
                </a:solidFill>
                <a:round/>
              </a:ln>
              <a:effectLst/>
            </c:spPr>
          </c:errBars>
          <c:cat>
            <c:strRef>
              <c:f>Sheet1!$C$4:$E$4</c:f>
              <c:strCache>
                <c:ptCount val="3"/>
                <c:pt idx="0">
                  <c:v>Block 1</c:v>
                </c:pt>
                <c:pt idx="1">
                  <c:v>Block 2</c:v>
                </c:pt>
                <c:pt idx="2">
                  <c:v>Block 3</c:v>
                </c:pt>
              </c:strCache>
            </c:strRef>
          </c:cat>
          <c:val>
            <c:numRef>
              <c:f>Sheet1!$C$6:$E$6</c:f>
              <c:numCache>
                <c:formatCode>General</c:formatCode>
                <c:ptCount val="3"/>
                <c:pt idx="0">
                  <c:v>0.56000000000000005</c:v>
                </c:pt>
                <c:pt idx="1">
                  <c:v>0.47</c:v>
                </c:pt>
                <c:pt idx="2">
                  <c:v>0.45</c:v>
                </c:pt>
              </c:numCache>
            </c:numRef>
          </c:val>
          <c:smooth val="0"/>
          <c:extLst>
            <c:ext xmlns:c16="http://schemas.microsoft.com/office/drawing/2014/chart" uri="{C3380CC4-5D6E-409C-BE32-E72D297353CC}">
              <c16:uniqueId val="{00000001-B0A0-405B-B6B5-F454D3F8E4B7}"/>
            </c:ext>
          </c:extLst>
        </c:ser>
        <c:ser>
          <c:idx val="2"/>
          <c:order val="2"/>
          <c:tx>
            <c:strRef>
              <c:f>Sheet1!$B$7</c:f>
              <c:strCache>
                <c:ptCount val="1"/>
                <c:pt idx="0">
                  <c:v>SPD-Pre-Nonbind</c:v>
                </c:pt>
              </c:strCache>
            </c:strRef>
          </c:tx>
          <c:spPr>
            <a:ln w="28575" cap="rnd">
              <a:solidFill>
                <a:schemeClr val="tx1"/>
              </a:solidFill>
              <a:prstDash val="sysDot"/>
              <a:round/>
            </a:ln>
            <a:effectLst/>
          </c:spPr>
          <c:marker>
            <c:symbol val="none"/>
          </c:marker>
          <c:errBars>
            <c:errDir val="y"/>
            <c:errBarType val="both"/>
            <c:errValType val="cust"/>
            <c:noEndCap val="0"/>
            <c:plus>
              <c:numRef>
                <c:f>Sheet1!$G$7:$I$7</c:f>
                <c:numCache>
                  <c:formatCode>General</c:formatCode>
                  <c:ptCount val="3"/>
                  <c:pt idx="0">
                    <c:v>0.04</c:v>
                  </c:pt>
                  <c:pt idx="1">
                    <c:v>0.05</c:v>
                  </c:pt>
                  <c:pt idx="2">
                    <c:v>0.04</c:v>
                  </c:pt>
                </c:numCache>
              </c:numRef>
            </c:plus>
            <c:minus>
              <c:numRef>
                <c:f>Sheet1!$G$7:$I$7</c:f>
                <c:numCache>
                  <c:formatCode>General</c:formatCode>
                  <c:ptCount val="3"/>
                  <c:pt idx="0">
                    <c:v>0.04</c:v>
                  </c:pt>
                  <c:pt idx="1">
                    <c:v>0.05</c:v>
                  </c:pt>
                  <c:pt idx="2">
                    <c:v>0.04</c:v>
                  </c:pt>
                </c:numCache>
              </c:numRef>
            </c:minus>
            <c:spPr>
              <a:noFill/>
              <a:ln w="9525" cap="flat" cmpd="sng" algn="ctr">
                <a:solidFill>
                  <a:schemeClr val="tx1">
                    <a:lumMod val="65000"/>
                    <a:lumOff val="35000"/>
                  </a:schemeClr>
                </a:solidFill>
                <a:round/>
              </a:ln>
              <a:effectLst/>
            </c:spPr>
          </c:errBars>
          <c:cat>
            <c:strRef>
              <c:f>Sheet1!$C$4:$E$4</c:f>
              <c:strCache>
                <c:ptCount val="3"/>
                <c:pt idx="0">
                  <c:v>Block 1</c:v>
                </c:pt>
                <c:pt idx="1">
                  <c:v>Block 2</c:v>
                </c:pt>
                <c:pt idx="2">
                  <c:v>Block 3</c:v>
                </c:pt>
              </c:strCache>
            </c:strRef>
          </c:cat>
          <c:val>
            <c:numRef>
              <c:f>Sheet1!$C$7:$E$7</c:f>
              <c:numCache>
                <c:formatCode>General</c:formatCode>
                <c:ptCount val="3"/>
                <c:pt idx="0">
                  <c:v>0.34</c:v>
                </c:pt>
                <c:pt idx="1">
                  <c:v>0.32</c:v>
                </c:pt>
                <c:pt idx="2">
                  <c:v>0.3</c:v>
                </c:pt>
              </c:numCache>
            </c:numRef>
          </c:val>
          <c:smooth val="0"/>
          <c:extLst>
            <c:ext xmlns:c16="http://schemas.microsoft.com/office/drawing/2014/chart" uri="{C3380CC4-5D6E-409C-BE32-E72D297353CC}">
              <c16:uniqueId val="{00000002-B0A0-405B-B6B5-F454D3F8E4B7}"/>
            </c:ext>
          </c:extLst>
        </c:ser>
        <c:dLbls>
          <c:showLegendKey val="0"/>
          <c:showVal val="0"/>
          <c:showCatName val="0"/>
          <c:showSerName val="0"/>
          <c:showPercent val="0"/>
          <c:showBubbleSize val="0"/>
        </c:dLbls>
        <c:smooth val="0"/>
        <c:axId val="383343880"/>
        <c:axId val="383344208"/>
      </c:lineChart>
      <c:catAx>
        <c:axId val="383343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3344208"/>
        <c:crosses val="autoZero"/>
        <c:auto val="1"/>
        <c:lblAlgn val="ctr"/>
        <c:lblOffset val="100"/>
        <c:noMultiLvlLbl val="0"/>
      </c:catAx>
      <c:valAx>
        <c:axId val="383344208"/>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CA"/>
                  <a:t>Proportion of invest</a:t>
                </a:r>
                <a:r>
                  <a:rPr lang="en-CA" baseline="0"/>
                  <a:t> choices</a:t>
                </a:r>
                <a:endParaRPr lang="en-CA"/>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C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83343880"/>
        <c:crosses val="autoZero"/>
        <c:crossBetween val="between"/>
      </c:valAx>
      <c:spPr>
        <a:noFill/>
        <a:ln>
          <a:noFill/>
        </a:ln>
        <a:effectLst/>
      </c:spPr>
    </c:plotArea>
    <c:legend>
      <c:legendPos val="tr"/>
      <c:overlay val="1"/>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E0C82-492D-4810-97A3-856DBDC5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18345</Words>
  <Characters>104568</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David Hardisty</dc:creator>
  <cp:keywords/>
  <dc:description/>
  <cp:lastModifiedBy>David Hardisty</cp:lastModifiedBy>
  <cp:revision>3</cp:revision>
  <dcterms:created xsi:type="dcterms:W3CDTF">2025-10-16T05:42:00Z</dcterms:created>
  <dcterms:modified xsi:type="dcterms:W3CDTF">2025-10-16T05:43:00Z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http://www.zotero.org/styles/journal-of-consumer-psychology</vt:lpwstr>
  </property>
  <property fmtid="{D5CDD505-2E9C-101B-9397-08002B2CF9AE}" pid="11" name="Mendeley Recent Style Name 4_1">
    <vt:lpwstr>Journal of Consumer Psychology</vt:lpwstr>
  </property>
  <property fmtid="{D5CDD505-2E9C-101B-9397-08002B2CF9AE}" pid="12" name="Mendeley Recent Style Id 5_1">
    <vt:lpwstr>http://www.zotero.org/styles/journal-of-experimental-psychology-general</vt:lpwstr>
  </property>
  <property fmtid="{D5CDD505-2E9C-101B-9397-08002B2CF9AE}" pid="13" name="Mendeley Recent Style Name 5_1">
    <vt:lpwstr>Journal of Experimental Psychology: General</vt:lpwstr>
  </property>
  <property fmtid="{D5CDD505-2E9C-101B-9397-08002B2CF9AE}" pid="14" name="Mendeley Recent Style Id 6_1">
    <vt:lpwstr>http://www.zotero.org/styles/journal-of-marketing</vt:lpwstr>
  </property>
  <property fmtid="{D5CDD505-2E9C-101B-9397-08002B2CF9AE}" pid="15" name="Mendeley Recent Style Name 6_1">
    <vt:lpwstr>Journal of Marketing</vt:lpwstr>
  </property>
  <property fmtid="{D5CDD505-2E9C-101B-9397-08002B2CF9AE}" pid="16" name="Mendeley Recent Style Id 7_1">
    <vt:lpwstr>http://www.zotero.org/styles/journal-of-marketing-research</vt:lpwstr>
  </property>
  <property fmtid="{D5CDD505-2E9C-101B-9397-08002B2CF9AE}" pid="17" name="Mendeley Recent Style Name 7_1">
    <vt:lpwstr>Journal of Marketing Research</vt:lpwstr>
  </property>
  <property fmtid="{D5CDD505-2E9C-101B-9397-08002B2CF9AE}" pid="18" name="Mendeley Recent Style Id 8_1">
    <vt:lpwstr>http://www.zotero.org/styles/management-science</vt:lpwstr>
  </property>
  <property fmtid="{D5CDD505-2E9C-101B-9397-08002B2CF9AE}" pid="19" name="Mendeley Recent Style Name 8_1">
    <vt:lpwstr>Management Science</vt:lpwstr>
  </property>
  <property fmtid="{D5CDD505-2E9C-101B-9397-08002B2CF9AE}" pid="20" name="Mendeley Recent Style Id 9_1">
    <vt:lpwstr>http://www.zotero.org/styles/organizational-behavior-and-human-decision-processes</vt:lpwstr>
  </property>
  <property fmtid="{D5CDD505-2E9C-101B-9397-08002B2CF9AE}" pid="21" name="Mendeley Recent Style Name 9_1">
    <vt:lpwstr>Organizational Behavior and Human Decision Processes</vt:lpwstr>
  </property>
  <property fmtid="{D5CDD505-2E9C-101B-9397-08002B2CF9AE}" pid="22" name="Mendeley Document_1">
    <vt:lpwstr>True</vt:lpwstr>
  </property>
  <property fmtid="{D5CDD505-2E9C-101B-9397-08002B2CF9AE}" pid="23" name="Mendeley Unique User Id_1">
    <vt:lpwstr>87d4dad5-26d6-36f8-b677-dac6b70a261b</vt:lpwstr>
  </property>
  <property fmtid="{D5CDD505-2E9C-101B-9397-08002B2CF9AE}" pid="24" name="Mendeley Citation Style_1">
    <vt:lpwstr>http://www.zotero.org/styles/journal-of-experimental-psychology-general</vt:lpwstr>
  </property>
</Properties>
</file>