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0EF6" w:rsidRPr="00707827" w:rsidRDefault="002B2CD6">
      <w:pPr>
        <w:jc w:val="center"/>
        <w:rPr>
          <w:b/>
        </w:rPr>
      </w:pPr>
      <w:r w:rsidRPr="00707827">
        <w:rPr>
          <w:b/>
        </w:rPr>
        <w:t>The Robustness of Mental Accounting Across 21 Countries</w:t>
      </w:r>
    </w:p>
    <w:p w:rsidR="00707827" w:rsidRPr="00707827" w:rsidRDefault="00707827">
      <w:pPr>
        <w:rPr>
          <w:bCs/>
        </w:rPr>
      </w:pPr>
      <w:r w:rsidRPr="00707827">
        <w:rPr>
          <w:bCs/>
        </w:rPr>
        <w:t>Authors:</w:t>
      </w:r>
      <w:r>
        <w:rPr>
          <w:b/>
          <w:bCs/>
        </w:rPr>
        <w:t xml:space="preserve"> </w:t>
      </w:r>
      <w:r w:rsidRPr="00707827">
        <w:rPr>
          <w:bCs/>
        </w:rPr>
        <w:t xml:space="preserve">Giulia </w:t>
      </w:r>
      <w:proofErr w:type="spellStart"/>
      <w:r w:rsidRPr="00707827">
        <w:rPr>
          <w:bCs/>
        </w:rPr>
        <w:t>Priolo</w:t>
      </w:r>
      <w:proofErr w:type="spellEnd"/>
      <w:r w:rsidRPr="00707827">
        <w:rPr>
          <w:bCs/>
        </w:rPr>
        <w:t xml:space="preserve">, Federica </w:t>
      </w:r>
      <w:proofErr w:type="spellStart"/>
      <w:r w:rsidRPr="00707827">
        <w:rPr>
          <w:bCs/>
        </w:rPr>
        <w:t>Stablum</w:t>
      </w:r>
      <w:proofErr w:type="spellEnd"/>
      <w:r w:rsidRPr="00707827">
        <w:rPr>
          <w:bCs/>
        </w:rPr>
        <w:t xml:space="preserve">, Martina </w:t>
      </w:r>
      <w:proofErr w:type="spellStart"/>
      <w:r w:rsidRPr="00707827">
        <w:rPr>
          <w:bCs/>
        </w:rPr>
        <w:t>Vacondio</w:t>
      </w:r>
      <w:proofErr w:type="spellEnd"/>
      <w:r w:rsidRPr="00707827">
        <w:rPr>
          <w:bCs/>
        </w:rPr>
        <w:t xml:space="preserve">, Simone </w:t>
      </w:r>
      <w:proofErr w:type="spellStart"/>
      <w:r w:rsidRPr="00707827">
        <w:rPr>
          <w:bCs/>
        </w:rPr>
        <w:t>D’Ambrogio</w:t>
      </w:r>
      <w:proofErr w:type="spellEnd"/>
      <w:r w:rsidRPr="00707827">
        <w:rPr>
          <w:bCs/>
        </w:rPr>
        <w:t xml:space="preserve">, Marta </w:t>
      </w:r>
      <w:proofErr w:type="spellStart"/>
      <w:r w:rsidRPr="00707827">
        <w:rPr>
          <w:bCs/>
        </w:rPr>
        <w:t>Caserotti</w:t>
      </w:r>
      <w:proofErr w:type="spellEnd"/>
      <w:r w:rsidRPr="00707827">
        <w:rPr>
          <w:bCs/>
        </w:rPr>
        <w:t xml:space="preserve">, Beatrice Conte, Prisca De Roni, Hilda Du Plooy, Vivian D. Grillo, Libera Y. </w:t>
      </w:r>
      <w:proofErr w:type="spellStart"/>
      <w:r w:rsidRPr="00707827">
        <w:rPr>
          <w:bCs/>
        </w:rPr>
        <w:t>Mastromatteo</w:t>
      </w:r>
      <w:proofErr w:type="spellEnd"/>
      <w:r w:rsidRPr="00707827">
        <w:rPr>
          <w:bCs/>
        </w:rPr>
        <w:t xml:space="preserve">, Elisa </w:t>
      </w:r>
      <w:proofErr w:type="spellStart"/>
      <w:r w:rsidRPr="00707827">
        <w:rPr>
          <w:bCs/>
        </w:rPr>
        <w:t>Tedaldi</w:t>
      </w:r>
      <w:proofErr w:type="spellEnd"/>
      <w:r w:rsidRPr="00707827">
        <w:rPr>
          <w:bCs/>
        </w:rPr>
        <w:t xml:space="preserve">, Filippo Toscano, </w:t>
      </w:r>
      <w:proofErr w:type="spellStart"/>
      <w:r w:rsidRPr="00707827">
        <w:rPr>
          <w:bCs/>
        </w:rPr>
        <w:t>Jesús</w:t>
      </w:r>
      <w:proofErr w:type="spellEnd"/>
      <w:r w:rsidRPr="00707827">
        <w:rPr>
          <w:bCs/>
        </w:rPr>
        <w:t xml:space="preserve"> Aguilar-Armijo, Parisa Ahmadi </w:t>
      </w:r>
      <w:proofErr w:type="spellStart"/>
      <w:r w:rsidRPr="00707827">
        <w:rPr>
          <w:bCs/>
        </w:rPr>
        <w:t>Ghomroudi</w:t>
      </w:r>
      <w:proofErr w:type="spellEnd"/>
      <w:r w:rsidRPr="00707827">
        <w:rPr>
          <w:bCs/>
        </w:rPr>
        <w:t xml:space="preserve">, Amira Al Rai, Lucian Alexa, Mathias H. Andersen, Per A. Andersson, </w:t>
      </w:r>
      <w:proofErr w:type="spellStart"/>
      <w:r w:rsidRPr="00707827">
        <w:rPr>
          <w:bCs/>
        </w:rPr>
        <w:t>Karine</w:t>
      </w:r>
      <w:proofErr w:type="spellEnd"/>
      <w:r w:rsidRPr="00707827">
        <w:rPr>
          <w:bCs/>
        </w:rPr>
        <w:t xml:space="preserve"> Aoun Barakat, Carolina Barros, </w:t>
      </w:r>
      <w:proofErr w:type="spellStart"/>
      <w:r w:rsidRPr="00707827">
        <w:rPr>
          <w:bCs/>
        </w:rPr>
        <w:t>Ruggero</w:t>
      </w:r>
      <w:proofErr w:type="spellEnd"/>
      <w:r w:rsidRPr="00707827">
        <w:rPr>
          <w:bCs/>
        </w:rPr>
        <w:t xml:space="preserve"> </w:t>
      </w:r>
      <w:proofErr w:type="spellStart"/>
      <w:r w:rsidRPr="00707827">
        <w:rPr>
          <w:bCs/>
        </w:rPr>
        <w:t>Basanisi</w:t>
      </w:r>
      <w:proofErr w:type="spellEnd"/>
      <w:r w:rsidRPr="00707827">
        <w:rPr>
          <w:bCs/>
        </w:rPr>
        <w:t xml:space="preserve">, Tara </w:t>
      </w:r>
      <w:proofErr w:type="spellStart"/>
      <w:r w:rsidRPr="00707827">
        <w:rPr>
          <w:bCs/>
        </w:rPr>
        <w:t>Beilner</w:t>
      </w:r>
      <w:proofErr w:type="spellEnd"/>
      <w:r w:rsidRPr="00707827">
        <w:rPr>
          <w:bCs/>
        </w:rPr>
        <w:t xml:space="preserve">, Sergiu </w:t>
      </w:r>
      <w:proofErr w:type="spellStart"/>
      <w:r w:rsidRPr="00707827">
        <w:rPr>
          <w:bCs/>
        </w:rPr>
        <w:t>Burlacu</w:t>
      </w:r>
      <w:proofErr w:type="spellEnd"/>
      <w:r w:rsidRPr="00707827">
        <w:rPr>
          <w:bCs/>
        </w:rPr>
        <w:t xml:space="preserve">, Thai Cao, Alessandra </w:t>
      </w:r>
      <w:proofErr w:type="spellStart"/>
      <w:r w:rsidRPr="00707827">
        <w:rPr>
          <w:bCs/>
        </w:rPr>
        <w:t>Carella</w:t>
      </w:r>
      <w:proofErr w:type="spellEnd"/>
      <w:r w:rsidRPr="00707827">
        <w:rPr>
          <w:bCs/>
        </w:rPr>
        <w:t xml:space="preserve">, Arianna </w:t>
      </w:r>
      <w:proofErr w:type="spellStart"/>
      <w:r w:rsidRPr="00707827">
        <w:rPr>
          <w:bCs/>
        </w:rPr>
        <w:t>Chiappi</w:t>
      </w:r>
      <w:proofErr w:type="spellEnd"/>
      <w:r w:rsidRPr="00707827">
        <w:rPr>
          <w:bCs/>
        </w:rPr>
        <w:t xml:space="preserve">, Zafer </w:t>
      </w:r>
      <w:proofErr w:type="spellStart"/>
      <w:r w:rsidRPr="00707827">
        <w:rPr>
          <w:bCs/>
        </w:rPr>
        <w:t>Çiftçi</w:t>
      </w:r>
      <w:proofErr w:type="spellEnd"/>
      <w:r w:rsidRPr="00707827">
        <w:rPr>
          <w:bCs/>
        </w:rPr>
        <w:t xml:space="preserve">, Claudia </w:t>
      </w:r>
      <w:proofErr w:type="spellStart"/>
      <w:r w:rsidRPr="00707827">
        <w:rPr>
          <w:bCs/>
        </w:rPr>
        <w:t>Civai</w:t>
      </w:r>
      <w:proofErr w:type="spellEnd"/>
      <w:r w:rsidRPr="00707827">
        <w:rPr>
          <w:bCs/>
        </w:rPr>
        <w:t xml:space="preserve">, Alana Daly, </w:t>
      </w:r>
      <w:proofErr w:type="spellStart"/>
      <w:r w:rsidRPr="00707827">
        <w:rPr>
          <w:bCs/>
        </w:rPr>
        <w:t>Valdone</w:t>
      </w:r>
      <w:proofErr w:type="spellEnd"/>
      <w:r w:rsidRPr="00707827">
        <w:rPr>
          <w:bCs/>
        </w:rPr>
        <w:t xml:space="preserve">̇ </w:t>
      </w:r>
      <w:proofErr w:type="spellStart"/>
      <w:r w:rsidRPr="00707827">
        <w:rPr>
          <w:bCs/>
        </w:rPr>
        <w:t>Dars</w:t>
      </w:r>
      <w:proofErr w:type="spellEnd"/>
      <w:r w:rsidRPr="00707827">
        <w:rPr>
          <w:bCs/>
        </w:rPr>
        <w:t xml:space="preserve">̌ </w:t>
      </w:r>
      <w:proofErr w:type="spellStart"/>
      <w:r w:rsidRPr="00707827">
        <w:rPr>
          <w:bCs/>
        </w:rPr>
        <w:t>kuviene</w:t>
      </w:r>
      <w:proofErr w:type="spellEnd"/>
      <w:r w:rsidRPr="00707827">
        <w:rPr>
          <w:bCs/>
        </w:rPr>
        <w:t xml:space="preserve">̇, Marta De Pedis, Earle J. Du Plooy, Mohammed El-Mir, Christian T. </w:t>
      </w:r>
      <w:proofErr w:type="spellStart"/>
      <w:r w:rsidRPr="00707827">
        <w:rPr>
          <w:bCs/>
        </w:rPr>
        <w:t>Elbaek</w:t>
      </w:r>
      <w:proofErr w:type="spellEnd"/>
      <w:r w:rsidRPr="00707827">
        <w:rPr>
          <w:bCs/>
        </w:rPr>
        <w:t xml:space="preserve">, </w:t>
      </w:r>
      <w:proofErr w:type="spellStart"/>
      <w:r w:rsidRPr="00707827">
        <w:rPr>
          <w:bCs/>
        </w:rPr>
        <w:t>Sondos</w:t>
      </w:r>
      <w:proofErr w:type="spellEnd"/>
      <w:r w:rsidRPr="00707827">
        <w:rPr>
          <w:bCs/>
        </w:rPr>
        <w:t xml:space="preserve"> </w:t>
      </w:r>
      <w:proofErr w:type="spellStart"/>
      <w:r w:rsidRPr="00707827">
        <w:rPr>
          <w:bCs/>
        </w:rPr>
        <w:t>Elkot</w:t>
      </w:r>
      <w:proofErr w:type="spellEnd"/>
      <w:r w:rsidRPr="00707827">
        <w:rPr>
          <w:bCs/>
        </w:rPr>
        <w:t xml:space="preserve">, Valeria </w:t>
      </w:r>
      <w:proofErr w:type="spellStart"/>
      <w:r w:rsidRPr="00707827">
        <w:rPr>
          <w:bCs/>
        </w:rPr>
        <w:t>Fanghella</w:t>
      </w:r>
      <w:proofErr w:type="spellEnd"/>
      <w:r w:rsidRPr="00707827">
        <w:rPr>
          <w:bCs/>
        </w:rPr>
        <w:t xml:space="preserve">, </w:t>
      </w:r>
      <w:proofErr w:type="spellStart"/>
      <w:r w:rsidRPr="00707827">
        <w:rPr>
          <w:bCs/>
        </w:rPr>
        <w:t>Eman</w:t>
      </w:r>
      <w:proofErr w:type="spellEnd"/>
      <w:r w:rsidRPr="00707827">
        <w:rPr>
          <w:bCs/>
        </w:rPr>
        <w:t xml:space="preserve"> </w:t>
      </w:r>
      <w:proofErr w:type="spellStart"/>
      <w:r w:rsidRPr="00707827">
        <w:rPr>
          <w:bCs/>
        </w:rPr>
        <w:t>Farahat</w:t>
      </w:r>
      <w:proofErr w:type="spellEnd"/>
      <w:r w:rsidRPr="00707827">
        <w:rPr>
          <w:bCs/>
        </w:rPr>
        <w:t xml:space="preserve">, Amy G. </w:t>
      </w:r>
      <w:proofErr w:type="spellStart"/>
      <w:r w:rsidRPr="00707827">
        <w:rPr>
          <w:bCs/>
        </w:rPr>
        <w:t>Fehl</w:t>
      </w:r>
      <w:proofErr w:type="spellEnd"/>
      <w:r w:rsidRPr="00707827">
        <w:rPr>
          <w:bCs/>
        </w:rPr>
        <w:t xml:space="preserve">, </w:t>
      </w:r>
      <w:proofErr w:type="spellStart"/>
      <w:r w:rsidRPr="00707827">
        <w:rPr>
          <w:bCs/>
        </w:rPr>
        <w:t>Ama</w:t>
      </w:r>
      <w:proofErr w:type="spellEnd"/>
      <w:r w:rsidRPr="00707827">
        <w:rPr>
          <w:bCs/>
        </w:rPr>
        <w:t xml:space="preserve"> P. Fenny, Paul A. G. Forbes, Gemma </w:t>
      </w:r>
      <w:proofErr w:type="spellStart"/>
      <w:r w:rsidRPr="00707827">
        <w:rPr>
          <w:bCs/>
        </w:rPr>
        <w:t>Garbi</w:t>
      </w:r>
      <w:proofErr w:type="spellEnd"/>
      <w:r w:rsidRPr="00707827">
        <w:rPr>
          <w:bCs/>
        </w:rPr>
        <w:t xml:space="preserve">, André </w:t>
      </w:r>
      <w:proofErr w:type="spellStart"/>
      <w:r w:rsidRPr="00707827">
        <w:rPr>
          <w:bCs/>
        </w:rPr>
        <w:t>Gonçalves</w:t>
      </w:r>
      <w:proofErr w:type="spellEnd"/>
      <w:r w:rsidRPr="00707827">
        <w:rPr>
          <w:bCs/>
        </w:rPr>
        <w:t xml:space="preserve">, </w:t>
      </w:r>
      <w:proofErr w:type="spellStart"/>
      <w:r w:rsidRPr="00707827">
        <w:rPr>
          <w:bCs/>
        </w:rPr>
        <w:t>Sevias</w:t>
      </w:r>
      <w:proofErr w:type="spellEnd"/>
      <w:r w:rsidRPr="00707827">
        <w:rPr>
          <w:bCs/>
        </w:rPr>
        <w:t xml:space="preserve"> </w:t>
      </w:r>
      <w:proofErr w:type="spellStart"/>
      <w:r w:rsidRPr="00707827">
        <w:rPr>
          <w:bCs/>
        </w:rPr>
        <w:t>Guvuriro</w:t>
      </w:r>
      <w:proofErr w:type="spellEnd"/>
      <w:r w:rsidRPr="00707827">
        <w:rPr>
          <w:bCs/>
        </w:rPr>
        <w:t xml:space="preserve">, Ali </w:t>
      </w:r>
      <w:proofErr w:type="spellStart"/>
      <w:r w:rsidRPr="00707827">
        <w:rPr>
          <w:bCs/>
        </w:rPr>
        <w:t>Hajian</w:t>
      </w:r>
      <w:proofErr w:type="spellEnd"/>
      <w:r w:rsidRPr="00707827">
        <w:rPr>
          <w:bCs/>
        </w:rPr>
        <w:t xml:space="preserve">, David J. Hardisty, Steve </w:t>
      </w:r>
      <w:proofErr w:type="spellStart"/>
      <w:r w:rsidRPr="00707827">
        <w:rPr>
          <w:bCs/>
        </w:rPr>
        <w:t>Heinke</w:t>
      </w:r>
      <w:proofErr w:type="spellEnd"/>
      <w:r w:rsidRPr="00707827">
        <w:rPr>
          <w:bCs/>
        </w:rPr>
        <w:t xml:space="preserve">, Austin W. Howard, </w:t>
      </w:r>
      <w:proofErr w:type="spellStart"/>
      <w:r w:rsidRPr="00707827">
        <w:rPr>
          <w:bCs/>
        </w:rPr>
        <w:t>Sudharsana</w:t>
      </w:r>
      <w:proofErr w:type="spellEnd"/>
      <w:r w:rsidRPr="00707827">
        <w:rPr>
          <w:bCs/>
        </w:rPr>
        <w:t xml:space="preserve"> </w:t>
      </w:r>
      <w:proofErr w:type="spellStart"/>
      <w:r w:rsidRPr="00707827">
        <w:rPr>
          <w:bCs/>
        </w:rPr>
        <w:t>Jagatheesh</w:t>
      </w:r>
      <w:proofErr w:type="spellEnd"/>
      <w:r w:rsidRPr="00707827">
        <w:rPr>
          <w:bCs/>
        </w:rPr>
        <w:t xml:space="preserve"> </w:t>
      </w:r>
      <w:proofErr w:type="spellStart"/>
      <w:r w:rsidRPr="00707827">
        <w:rPr>
          <w:bCs/>
        </w:rPr>
        <w:t>Jayanand</w:t>
      </w:r>
      <w:proofErr w:type="spellEnd"/>
      <w:r w:rsidRPr="00707827">
        <w:rPr>
          <w:bCs/>
        </w:rPr>
        <w:t xml:space="preserve">, </w:t>
      </w:r>
      <w:proofErr w:type="spellStart"/>
      <w:r w:rsidRPr="00707827">
        <w:rPr>
          <w:bCs/>
        </w:rPr>
        <w:t>Peiran</w:t>
      </w:r>
      <w:proofErr w:type="spellEnd"/>
      <w:r w:rsidRPr="00707827">
        <w:rPr>
          <w:bCs/>
        </w:rPr>
        <w:t xml:space="preserve"> Jiao, Gabriela M. </w:t>
      </w:r>
      <w:proofErr w:type="spellStart"/>
      <w:r w:rsidRPr="00707827">
        <w:rPr>
          <w:bCs/>
        </w:rPr>
        <w:t>Jiga</w:t>
      </w:r>
      <w:proofErr w:type="spellEnd"/>
      <w:r w:rsidRPr="00707827">
        <w:rPr>
          <w:bCs/>
        </w:rPr>
        <w:t xml:space="preserve">-Boy, Alejandra </w:t>
      </w:r>
      <w:proofErr w:type="spellStart"/>
      <w:r w:rsidRPr="00707827">
        <w:rPr>
          <w:bCs/>
        </w:rPr>
        <w:t>Jordano</w:t>
      </w:r>
      <w:proofErr w:type="spellEnd"/>
      <w:r w:rsidRPr="00707827">
        <w:rPr>
          <w:bCs/>
        </w:rPr>
        <w:t xml:space="preserve"> de Castro, Tobias </w:t>
      </w:r>
      <w:proofErr w:type="spellStart"/>
      <w:r w:rsidRPr="00707827">
        <w:rPr>
          <w:bCs/>
        </w:rPr>
        <w:t>Kalenscher</w:t>
      </w:r>
      <w:proofErr w:type="spellEnd"/>
      <w:r w:rsidRPr="00707827">
        <w:rPr>
          <w:bCs/>
        </w:rPr>
        <w:t xml:space="preserve">, </w:t>
      </w:r>
      <w:proofErr w:type="spellStart"/>
      <w:r w:rsidRPr="00707827">
        <w:rPr>
          <w:bCs/>
        </w:rPr>
        <w:t>Auste</w:t>
      </w:r>
      <w:proofErr w:type="spellEnd"/>
      <w:r w:rsidRPr="00707827">
        <w:rPr>
          <w:bCs/>
        </w:rPr>
        <w:t xml:space="preserve">̇ ja </w:t>
      </w:r>
      <w:proofErr w:type="spellStart"/>
      <w:r w:rsidRPr="00707827">
        <w:rPr>
          <w:bCs/>
        </w:rPr>
        <w:t>Kažemekaityte</w:t>
      </w:r>
      <w:proofErr w:type="spellEnd"/>
      <w:r w:rsidRPr="00707827">
        <w:rPr>
          <w:bCs/>
        </w:rPr>
        <w:t xml:space="preserve">̇, </w:t>
      </w:r>
      <w:proofErr w:type="spellStart"/>
      <w:r w:rsidRPr="00707827">
        <w:rPr>
          <w:bCs/>
        </w:rPr>
        <w:t>Afreen</w:t>
      </w:r>
      <w:proofErr w:type="spellEnd"/>
      <w:r w:rsidRPr="00707827">
        <w:rPr>
          <w:bCs/>
        </w:rPr>
        <w:t xml:space="preserve"> S. Khalid, Kiana </w:t>
      </w:r>
      <w:proofErr w:type="spellStart"/>
      <w:r w:rsidRPr="00707827">
        <w:rPr>
          <w:bCs/>
        </w:rPr>
        <w:t>Kothe</w:t>
      </w:r>
      <w:proofErr w:type="spellEnd"/>
      <w:r w:rsidRPr="00707827">
        <w:rPr>
          <w:bCs/>
        </w:rPr>
        <w:t xml:space="preserve">, Philip </w:t>
      </w:r>
      <w:proofErr w:type="spellStart"/>
      <w:r w:rsidRPr="00707827">
        <w:rPr>
          <w:bCs/>
        </w:rPr>
        <w:t>Krüger</w:t>
      </w:r>
      <w:proofErr w:type="spellEnd"/>
      <w:r w:rsidRPr="00707827">
        <w:rPr>
          <w:bCs/>
        </w:rPr>
        <w:t xml:space="preserve">, Ngan Le </w:t>
      </w:r>
      <w:proofErr w:type="spellStart"/>
      <w:r w:rsidRPr="00707827">
        <w:rPr>
          <w:bCs/>
        </w:rPr>
        <w:t>Thi</w:t>
      </w:r>
      <w:proofErr w:type="spellEnd"/>
      <w:r w:rsidRPr="00707827">
        <w:rPr>
          <w:bCs/>
        </w:rPr>
        <w:t xml:space="preserve"> </w:t>
      </w:r>
      <w:proofErr w:type="spellStart"/>
      <w:r w:rsidRPr="00707827">
        <w:rPr>
          <w:bCs/>
        </w:rPr>
        <w:t>Kieu</w:t>
      </w:r>
      <w:proofErr w:type="spellEnd"/>
      <w:r w:rsidRPr="00707827">
        <w:rPr>
          <w:bCs/>
        </w:rPr>
        <w:t xml:space="preserve">, </w:t>
      </w:r>
      <w:proofErr w:type="spellStart"/>
      <w:r w:rsidRPr="00707827">
        <w:rPr>
          <w:bCs/>
        </w:rPr>
        <w:t>Gintare</w:t>
      </w:r>
      <w:proofErr w:type="spellEnd"/>
      <w:r w:rsidRPr="00707827">
        <w:rPr>
          <w:bCs/>
        </w:rPr>
        <w:t xml:space="preserve">̇ </w:t>
      </w:r>
      <w:proofErr w:type="spellStart"/>
      <w:r w:rsidRPr="00707827">
        <w:rPr>
          <w:bCs/>
        </w:rPr>
        <w:t>Lecke</w:t>
      </w:r>
      <w:proofErr w:type="spellEnd"/>
      <w:r w:rsidRPr="00707827">
        <w:rPr>
          <w:bCs/>
        </w:rPr>
        <w:t xml:space="preserve">̇, </w:t>
      </w:r>
      <w:proofErr w:type="spellStart"/>
      <w:r w:rsidRPr="00707827">
        <w:rPr>
          <w:bCs/>
        </w:rPr>
        <w:t>Yanina</w:t>
      </w:r>
      <w:proofErr w:type="spellEnd"/>
      <w:r w:rsidRPr="00707827">
        <w:rPr>
          <w:bCs/>
        </w:rPr>
        <w:t xml:space="preserve"> </w:t>
      </w:r>
      <w:proofErr w:type="spellStart"/>
      <w:r w:rsidRPr="00707827">
        <w:rPr>
          <w:bCs/>
        </w:rPr>
        <w:t>Ledovaya</w:t>
      </w:r>
      <w:proofErr w:type="spellEnd"/>
      <w:r w:rsidRPr="00707827">
        <w:rPr>
          <w:bCs/>
        </w:rPr>
        <w:t xml:space="preserve">, </w:t>
      </w:r>
      <w:proofErr w:type="spellStart"/>
      <w:r w:rsidRPr="00707827">
        <w:rPr>
          <w:bCs/>
        </w:rPr>
        <w:t>Mengyu</w:t>
      </w:r>
      <w:proofErr w:type="spellEnd"/>
      <w:r w:rsidRPr="00707827">
        <w:rPr>
          <w:bCs/>
        </w:rPr>
        <w:t xml:space="preserve"> Lim, Luca M. </w:t>
      </w:r>
      <w:proofErr w:type="spellStart"/>
      <w:r w:rsidRPr="00707827">
        <w:rPr>
          <w:bCs/>
        </w:rPr>
        <w:t>Lüpken</w:t>
      </w:r>
      <w:proofErr w:type="spellEnd"/>
      <w:r w:rsidRPr="00707827">
        <w:rPr>
          <w:bCs/>
        </w:rPr>
        <w:t xml:space="preserve">, Huong Mai </w:t>
      </w:r>
      <w:proofErr w:type="spellStart"/>
      <w:r w:rsidRPr="00707827">
        <w:rPr>
          <w:bCs/>
        </w:rPr>
        <w:t>Thi</w:t>
      </w:r>
      <w:proofErr w:type="spellEnd"/>
      <w:r w:rsidRPr="00707827">
        <w:rPr>
          <w:bCs/>
        </w:rPr>
        <w:t xml:space="preserve"> Xuan, Laura Mangold, </w:t>
      </w:r>
      <w:proofErr w:type="spellStart"/>
      <w:r w:rsidRPr="00707827">
        <w:rPr>
          <w:bCs/>
        </w:rPr>
        <w:t>Alfarisi</w:t>
      </w:r>
      <w:proofErr w:type="spellEnd"/>
      <w:r w:rsidRPr="00707827">
        <w:rPr>
          <w:bCs/>
        </w:rPr>
        <w:t xml:space="preserve"> Maulana, Maya Maze, </w:t>
      </w:r>
      <w:proofErr w:type="spellStart"/>
      <w:r w:rsidRPr="00707827">
        <w:rPr>
          <w:bCs/>
        </w:rPr>
        <w:t>Hajdi</w:t>
      </w:r>
      <w:proofErr w:type="spellEnd"/>
      <w:r w:rsidRPr="00707827">
        <w:rPr>
          <w:bCs/>
        </w:rPr>
        <w:t xml:space="preserve"> Moche, Zahra Moradi, Adel </w:t>
      </w:r>
      <w:proofErr w:type="spellStart"/>
      <w:r w:rsidRPr="00707827">
        <w:rPr>
          <w:bCs/>
        </w:rPr>
        <w:t>Moumin</w:t>
      </w:r>
      <w:proofErr w:type="spellEnd"/>
      <w:r w:rsidRPr="00707827">
        <w:rPr>
          <w:bCs/>
        </w:rPr>
        <w:t xml:space="preserve">, Valeria Nava, Michelle J. Y. </w:t>
      </w:r>
      <w:proofErr w:type="spellStart"/>
      <w:r w:rsidRPr="00707827">
        <w:rPr>
          <w:bCs/>
        </w:rPr>
        <w:t>Neoh</w:t>
      </w:r>
      <w:proofErr w:type="spellEnd"/>
      <w:r w:rsidRPr="00707827">
        <w:rPr>
          <w:bCs/>
        </w:rPr>
        <w:t xml:space="preserve">, Leonardo Nicolao, Sebastian </w:t>
      </w:r>
      <w:proofErr w:type="spellStart"/>
      <w:r w:rsidRPr="00707827">
        <w:rPr>
          <w:bCs/>
        </w:rPr>
        <w:t>Olschewski</w:t>
      </w:r>
      <w:proofErr w:type="spellEnd"/>
      <w:r w:rsidRPr="00707827">
        <w:rPr>
          <w:bCs/>
        </w:rPr>
        <w:t xml:space="preserve">, Hamza </w:t>
      </w:r>
      <w:proofErr w:type="spellStart"/>
      <w:r w:rsidRPr="00707827">
        <w:rPr>
          <w:bCs/>
        </w:rPr>
        <w:t>Oueld</w:t>
      </w:r>
      <w:proofErr w:type="spellEnd"/>
      <w:r w:rsidRPr="00707827">
        <w:rPr>
          <w:bCs/>
        </w:rPr>
        <w:t xml:space="preserve">, </w:t>
      </w:r>
      <w:proofErr w:type="spellStart"/>
      <w:r w:rsidRPr="00707827">
        <w:rPr>
          <w:bCs/>
        </w:rPr>
        <w:t>Adobea</w:t>
      </w:r>
      <w:proofErr w:type="spellEnd"/>
      <w:r w:rsidRPr="00707827">
        <w:rPr>
          <w:bCs/>
        </w:rPr>
        <w:t xml:space="preserve"> Y. Owusu, Ahmet F. </w:t>
      </w:r>
      <w:proofErr w:type="spellStart"/>
      <w:r w:rsidRPr="00707827">
        <w:rPr>
          <w:bCs/>
        </w:rPr>
        <w:t>Ozates</w:t>
      </w:r>
      <w:proofErr w:type="spellEnd"/>
      <w:r w:rsidRPr="00707827">
        <w:rPr>
          <w:bCs/>
        </w:rPr>
        <w:t xml:space="preserve">, Sofia </w:t>
      </w:r>
      <w:proofErr w:type="spellStart"/>
      <w:r w:rsidRPr="00707827">
        <w:rPr>
          <w:bCs/>
        </w:rPr>
        <w:t>Pelic</w:t>
      </w:r>
      <w:bookmarkStart w:id="0" w:name="_GoBack"/>
      <w:bookmarkEnd w:id="0"/>
      <w:r w:rsidRPr="00707827">
        <w:rPr>
          <w:bCs/>
        </w:rPr>
        <w:t>a</w:t>
      </w:r>
      <w:proofErr w:type="spellEnd"/>
      <w:r w:rsidRPr="00707827">
        <w:rPr>
          <w:bCs/>
        </w:rPr>
        <w:t xml:space="preserve">, Beatriz Pereira, Sonja </w:t>
      </w:r>
      <w:proofErr w:type="spellStart"/>
      <w:r w:rsidRPr="00707827">
        <w:rPr>
          <w:bCs/>
        </w:rPr>
        <w:t>Perkovic</w:t>
      </w:r>
      <w:proofErr w:type="spellEnd"/>
      <w:r w:rsidRPr="00707827">
        <w:rPr>
          <w:bCs/>
        </w:rPr>
        <w:t xml:space="preserve">, Justin </w:t>
      </w:r>
      <w:proofErr w:type="spellStart"/>
      <w:r w:rsidRPr="00707827">
        <w:rPr>
          <w:bCs/>
        </w:rPr>
        <w:t>Pomerance</w:t>
      </w:r>
      <w:proofErr w:type="spellEnd"/>
      <w:r w:rsidRPr="00707827">
        <w:rPr>
          <w:bCs/>
        </w:rPr>
        <w:t xml:space="preserve">, Ananda W. M. </w:t>
      </w:r>
      <w:proofErr w:type="spellStart"/>
      <w:r w:rsidRPr="00707827">
        <w:rPr>
          <w:bCs/>
        </w:rPr>
        <w:t>Puteri</w:t>
      </w:r>
      <w:proofErr w:type="spellEnd"/>
      <w:r w:rsidRPr="00707827">
        <w:rPr>
          <w:bCs/>
        </w:rPr>
        <w:t xml:space="preserve">, </w:t>
      </w:r>
      <w:proofErr w:type="spellStart"/>
      <w:r w:rsidRPr="00707827">
        <w:rPr>
          <w:bCs/>
        </w:rPr>
        <w:t>Hagai</w:t>
      </w:r>
      <w:proofErr w:type="spellEnd"/>
      <w:r w:rsidRPr="00707827">
        <w:rPr>
          <w:bCs/>
        </w:rPr>
        <w:t xml:space="preserve"> Rabinovitch, Guilherme A. Ramos, Nicole Robitaille, Caroline Roux, Benjamin </w:t>
      </w:r>
      <w:proofErr w:type="spellStart"/>
      <w:r w:rsidRPr="00707827">
        <w:rPr>
          <w:bCs/>
        </w:rPr>
        <w:t>Scheibehenne</w:t>
      </w:r>
      <w:proofErr w:type="spellEnd"/>
      <w:r w:rsidRPr="00707827">
        <w:rPr>
          <w:bCs/>
        </w:rPr>
        <w:t xml:space="preserve">, Martin </w:t>
      </w:r>
      <w:proofErr w:type="spellStart"/>
      <w:r w:rsidRPr="00707827">
        <w:rPr>
          <w:bCs/>
        </w:rPr>
        <w:t>Schoemann</w:t>
      </w:r>
      <w:proofErr w:type="spellEnd"/>
      <w:r w:rsidRPr="00707827">
        <w:rPr>
          <w:bCs/>
        </w:rPr>
        <w:t xml:space="preserve">, Mohammad </w:t>
      </w:r>
      <w:proofErr w:type="spellStart"/>
      <w:r w:rsidRPr="00707827">
        <w:rPr>
          <w:bCs/>
        </w:rPr>
        <w:t>Seidisarouei</w:t>
      </w:r>
      <w:proofErr w:type="spellEnd"/>
      <w:r w:rsidRPr="00707827">
        <w:rPr>
          <w:bCs/>
        </w:rPr>
        <w:t xml:space="preserve">, Sanjay Singh, Mustafa Z. </w:t>
      </w:r>
      <w:proofErr w:type="spellStart"/>
      <w:r w:rsidRPr="00707827">
        <w:rPr>
          <w:bCs/>
        </w:rPr>
        <w:t>Söyük</w:t>
      </w:r>
      <w:proofErr w:type="spellEnd"/>
      <w:r w:rsidRPr="00707827">
        <w:rPr>
          <w:bCs/>
        </w:rPr>
        <w:t xml:space="preserve">, Liza Steiner, </w:t>
      </w:r>
      <w:proofErr w:type="spellStart"/>
      <w:r w:rsidRPr="00707827">
        <w:rPr>
          <w:bCs/>
        </w:rPr>
        <w:t>Berto</w:t>
      </w:r>
      <w:proofErr w:type="spellEnd"/>
      <w:r w:rsidRPr="00707827">
        <w:rPr>
          <w:bCs/>
        </w:rPr>
        <w:t xml:space="preserve"> Usman, Hannah van </w:t>
      </w:r>
      <w:proofErr w:type="spellStart"/>
      <w:r w:rsidRPr="00707827">
        <w:rPr>
          <w:bCs/>
        </w:rPr>
        <w:t>Alebeek</w:t>
      </w:r>
      <w:proofErr w:type="spellEnd"/>
      <w:r w:rsidRPr="00707827">
        <w:rPr>
          <w:bCs/>
        </w:rPr>
        <w:t xml:space="preserve">, Mohammad H. </w:t>
      </w:r>
      <w:proofErr w:type="spellStart"/>
      <w:r w:rsidRPr="00707827">
        <w:rPr>
          <w:bCs/>
        </w:rPr>
        <w:t>Vazirian</w:t>
      </w:r>
      <w:proofErr w:type="spellEnd"/>
      <w:r w:rsidRPr="00707827">
        <w:rPr>
          <w:bCs/>
        </w:rPr>
        <w:t xml:space="preserve">, Evgeniya </w:t>
      </w:r>
      <w:proofErr w:type="spellStart"/>
      <w:r w:rsidRPr="00707827">
        <w:rPr>
          <w:bCs/>
        </w:rPr>
        <w:t>Vedernikova</w:t>
      </w:r>
      <w:proofErr w:type="spellEnd"/>
      <w:r w:rsidRPr="00707827">
        <w:rPr>
          <w:bCs/>
        </w:rPr>
        <w:t xml:space="preserve">, Janet L. Wijaya, </w:t>
      </w:r>
      <w:proofErr w:type="spellStart"/>
      <w:r w:rsidRPr="00707827">
        <w:rPr>
          <w:bCs/>
        </w:rPr>
        <w:t>Xinxin</w:t>
      </w:r>
      <w:proofErr w:type="spellEnd"/>
      <w:r w:rsidRPr="00707827">
        <w:rPr>
          <w:bCs/>
        </w:rPr>
        <w:t xml:space="preserve"> Zhu, </w:t>
      </w:r>
      <w:proofErr w:type="spellStart"/>
      <w:r w:rsidRPr="00707827">
        <w:rPr>
          <w:bCs/>
        </w:rPr>
        <w:t>Jichuan</w:t>
      </w:r>
      <w:proofErr w:type="spellEnd"/>
      <w:r w:rsidRPr="00707827">
        <w:rPr>
          <w:bCs/>
        </w:rPr>
        <w:t xml:space="preserve"> </w:t>
      </w:r>
      <w:proofErr w:type="spellStart"/>
      <w:r w:rsidRPr="00707827">
        <w:rPr>
          <w:bCs/>
        </w:rPr>
        <w:t>Zong</w:t>
      </w:r>
      <w:proofErr w:type="spellEnd"/>
      <w:r w:rsidRPr="00707827">
        <w:rPr>
          <w:bCs/>
        </w:rPr>
        <w:t xml:space="preserve">, Leaf Van Boven, Stephan </w:t>
      </w:r>
      <w:proofErr w:type="spellStart"/>
      <w:r w:rsidRPr="00707827">
        <w:rPr>
          <w:bCs/>
        </w:rPr>
        <w:t>Dickert</w:t>
      </w:r>
      <w:proofErr w:type="spellEnd"/>
      <w:r w:rsidRPr="00707827">
        <w:rPr>
          <w:bCs/>
        </w:rPr>
        <w:t xml:space="preserve">, </w:t>
      </w:r>
      <w:proofErr w:type="spellStart"/>
      <w:r w:rsidRPr="00707827">
        <w:rPr>
          <w:bCs/>
        </w:rPr>
        <w:t>Lorella</w:t>
      </w:r>
      <w:proofErr w:type="spellEnd"/>
      <w:r w:rsidRPr="00707827">
        <w:rPr>
          <w:bCs/>
        </w:rPr>
        <w:t xml:space="preserve"> Lotto, Kai Ruggeri, Enrico </w:t>
      </w:r>
      <w:proofErr w:type="spellStart"/>
      <w:r w:rsidRPr="00707827">
        <w:rPr>
          <w:bCs/>
        </w:rPr>
        <w:t>Rubaltelli</w:t>
      </w:r>
      <w:proofErr w:type="spellEnd"/>
      <w:r w:rsidRPr="00707827">
        <w:rPr>
          <w:bCs/>
        </w:rPr>
        <w:t>.</w:t>
      </w:r>
    </w:p>
    <w:p w:rsidR="00707827" w:rsidRDefault="00707827">
      <w:pPr>
        <w:rPr>
          <w:b/>
          <w:bCs/>
        </w:rPr>
      </w:pPr>
    </w:p>
    <w:p w:rsidR="00750EF6" w:rsidRDefault="002B2CD6">
      <w:pPr>
        <w:jc w:val="center"/>
        <w:rPr>
          <w:b/>
          <w:bCs/>
        </w:rPr>
      </w:pPr>
      <w:bookmarkStart w:id="1" w:name="_heading=h.gk9u8f2j7sx0" w:colFirst="0" w:colLast="0"/>
      <w:bookmarkEnd w:id="1"/>
      <w:r>
        <w:rPr>
          <w:b/>
          <w:bCs/>
        </w:rPr>
        <w:lastRenderedPageBreak/>
        <w:t>ABSTRACT</w:t>
      </w:r>
    </w:p>
    <w:p w:rsidR="00750EF6" w:rsidRDefault="00750EF6">
      <w:pPr>
        <w:jc w:val="center"/>
        <w:rPr>
          <w:b/>
          <w:bCs/>
        </w:rPr>
      </w:pPr>
    </w:p>
    <w:p w:rsidR="00750EF6" w:rsidRDefault="002B2CD6">
      <w:pPr>
        <w:ind w:firstLine="720"/>
      </w:pPr>
      <w:r>
        <w:t xml:space="preserve">First introduced four decades ago, the influential concept of mental accounting—how people mentally organize, evaluate, and track financial activities—posits that consumers often defy traditional economic rationality, treating money as non-fungible across discrete mental accounts. In this research, we present the first large-scale test of the replicability and generalizability of mental accounting effects, using a sample of 5,589 participants from 21 countries. Our results demonstrate that mental accounting effects are replicable, robust, and generalizable. Hierarchical Bayesian meta-analyses revealed a 100% replication rate for all tested scenarios, while </w:t>
      </w:r>
      <w:proofErr w:type="spellStart"/>
      <w:r>
        <w:t>unpooled</w:t>
      </w:r>
      <w:proofErr w:type="spellEnd"/>
      <w:r>
        <w:t xml:space="preserve"> analyses showed a 90.5% replication rate (133/147 effects). Further analysis found that effects observed in higher-income countries may be weaker in lower-income countries. Multidimensional scaling suggested that mental accounting effects vary along three interpretable dimensions that reflect social context (individual vs interactive decisions), decision perspective (deciding for self vs other), and role in price determination (setting vs evaluating prices). Across a diverse population and controlling for multiple factors, we show that consumers make decisions based on mentally-formed accounts that consistently diverge from their objective financial value.</w:t>
      </w:r>
    </w:p>
    <w:p w:rsidR="00750EF6" w:rsidRDefault="00750EF6">
      <w:pPr>
        <w:ind w:firstLine="720"/>
      </w:pPr>
    </w:p>
    <w:p w:rsidR="00750EF6" w:rsidRDefault="002B2CD6">
      <w:pPr>
        <w:ind w:firstLine="720"/>
      </w:pPr>
      <w:r>
        <w:rPr>
          <w:i/>
          <w:iCs/>
        </w:rPr>
        <w:t>Keywords</w:t>
      </w:r>
      <w:r>
        <w:rPr>
          <w:b/>
          <w:bCs/>
        </w:rPr>
        <w:t xml:space="preserve">: </w:t>
      </w:r>
      <w:r>
        <w:t>Mental accounting; replication; behavioral science; psychology, consumer behavior, non-WEIRD population.</w:t>
      </w:r>
      <w:r>
        <w:br w:type="page"/>
      </w:r>
    </w:p>
    <w:p w:rsidR="00750EF6" w:rsidRDefault="002B2CD6">
      <w:pPr>
        <w:ind w:right="380" w:firstLine="720"/>
      </w:pPr>
      <w:r>
        <w:lastRenderedPageBreak/>
        <w:t xml:space="preserve">Consumers have long been known to arrange spending into different categories to mentally organize financial information used for making decisions (Thaler, 1985). Planned allocations and balances for each of these individual “mental accounts” are some of the bases of such decisions. Because of this categorization, the same amount of money can be perceived differently depending on its “account.” For example, consumers perceive $100 for leisure differently from $100 for rent. Similarly, a $100 check received for overtime work is perceived differently from a $100 check for a tax refund. This earmarking of money is the cornerstone of the mental accounting model of consumer behavior originally developed over the 1980s and 1990s (Tversky and Kahneman, 1981, Kahneman and Tversky, 1982; </w:t>
      </w:r>
      <w:proofErr w:type="gramStart"/>
      <w:r>
        <w:t>Thaler</w:t>
      </w:r>
      <w:r>
        <w:rPr>
          <w:sz w:val="16"/>
          <w:szCs w:val="16"/>
        </w:rPr>
        <w:t xml:space="preserve"> </w:t>
      </w:r>
      <w:r>
        <w:t>,</w:t>
      </w:r>
      <w:proofErr w:type="gramEnd"/>
      <w:r>
        <w:t xml:space="preserve"> 1985, 1990, 1999).</w:t>
      </w:r>
    </w:p>
    <w:p w:rsidR="00750EF6" w:rsidRDefault="002B2CD6">
      <w:pPr>
        <w:ind w:right="380" w:firstLine="720"/>
      </w:pPr>
      <w:r>
        <w:t>However, since Mental Accounting was introduced and empirically tested, modern technology has completely changed our relationship with money and the way we spend it (Shah, Khan and Khan, 2024). In several financial environments, the norm now would be for both the overtime pay and the tax rebate to be received via direct deposit. Checks are also used less frequently as mode of payment, with innovations like digital payment platforms being rapidly adopted. Cash use has declined significantly, although its prevalence still varies across countries (</w:t>
      </w:r>
      <w:proofErr w:type="spellStart"/>
      <w:r>
        <w:t>Tarlin</w:t>
      </w:r>
      <w:proofErr w:type="spellEnd"/>
      <w:r>
        <w:t>, 2021; Shy, 2023).</w:t>
      </w:r>
    </w:p>
    <w:p w:rsidR="00750EF6" w:rsidRDefault="002B2CD6">
      <w:pPr>
        <w:ind w:firstLine="720"/>
        <w:rPr>
          <w:sz w:val="20"/>
          <w:szCs w:val="20"/>
        </w:rPr>
      </w:pPr>
      <w:r>
        <w:t>Considering the substantial changes in consumer financial ecosystems that have occurred in the last few decades, it is appropriate to ask whether classic mental accounting principles continue to describe how consumers organize, evaluate, and allocate money. To address this issue, the current research presents a large-scale test of the replicability and generalizability of mental accounting effects, using a sample of 5,589 participants from 21 countries.</w:t>
      </w:r>
    </w:p>
    <w:p w:rsidR="00750EF6" w:rsidRDefault="002B2CD6">
      <w:pPr>
        <w:ind w:firstLine="720"/>
      </w:pPr>
      <w:r>
        <w:lastRenderedPageBreak/>
        <w:t>This research provides three main contributions. First, we show that mental accounting remains a robust construct in modern times across different countries and demographic factors, with only slightly weaker effect sizes than the original studies. Second, we explore the relationship between a country’s economic development—assessed as Gross Domestic Product (GDP) per capita—and between-country differences in mental accounting. Finally, we propose three distinct dimensions (via multidimensional scaling analysis) across which mental accounting effects appear to vary. The three dimensions include social context (interactive vs individual decisions), decision perspective (deciding for self vs other), and role in price determination (setting vs evaluating prices), suggesting a broader structure than the original, largely unidimensional account, and presenting a clear framework for valuable future research.</w:t>
      </w:r>
    </w:p>
    <w:p w:rsidR="00750EF6" w:rsidRDefault="00750EF6">
      <w:pPr>
        <w:rPr>
          <w:b/>
          <w:bCs/>
        </w:rPr>
      </w:pPr>
    </w:p>
    <w:p w:rsidR="00750EF6" w:rsidRDefault="002B2CD6">
      <w:pPr>
        <w:rPr>
          <w:b/>
          <w:bCs/>
        </w:rPr>
      </w:pPr>
      <w:bookmarkStart w:id="2" w:name="_heading=h.zf40lyx9xxwk" w:colFirst="0" w:colLast="0"/>
      <w:bookmarkEnd w:id="2"/>
      <w:r>
        <w:rPr>
          <w:b/>
          <w:bCs/>
        </w:rPr>
        <w:t>The Role of Mental Accounting in Consumer Research</w:t>
      </w:r>
    </w:p>
    <w:p w:rsidR="00750EF6" w:rsidRDefault="00750EF6"/>
    <w:p w:rsidR="00750EF6" w:rsidRDefault="002B2CD6">
      <w:pPr>
        <w:ind w:firstLine="720"/>
      </w:pPr>
      <w:r>
        <w:t xml:space="preserve">Mental accounting (Thaler, 1985, 1990, 1999) is one of the most important models used in consumer research to understand how individuals manage their expenses and money. The concept was first introduced by Tversky and Kahneman (Tversky and Kahneman 1981; see also Kahneman and Tversky 1982) and further developed by Thaler (1999) who defined it as “the set of cognitive operations used by individuals and households to organize, evaluate, and keep track of financial activities” (p. 183). The foundational evidence for this model precedes technological innovations that significantly changed consumers’ relationships with money and the way they use it. Despite this, mental accounting is still the topic of numerous experimental scenarios and real-world applications in fields like finance </w:t>
      </w:r>
      <w:r>
        <w:lastRenderedPageBreak/>
        <w:t>(</w:t>
      </w:r>
      <w:proofErr w:type="spellStart"/>
      <w:r>
        <w:t>Barberis</w:t>
      </w:r>
      <w:proofErr w:type="spellEnd"/>
      <w:r>
        <w:t xml:space="preserve"> and Huang 2001; Choi, </w:t>
      </w:r>
      <w:proofErr w:type="spellStart"/>
      <w:r>
        <w:t>Laibson</w:t>
      </w:r>
      <w:proofErr w:type="spellEnd"/>
      <w:r>
        <w:t xml:space="preserve"> and </w:t>
      </w:r>
      <w:proofErr w:type="spellStart"/>
      <w:r>
        <w:t>Madrian</w:t>
      </w:r>
      <w:proofErr w:type="spellEnd"/>
      <w:r>
        <w:t xml:space="preserve"> 2009; </w:t>
      </w:r>
      <w:proofErr w:type="spellStart"/>
      <w:r>
        <w:t>Shefrin</w:t>
      </w:r>
      <w:proofErr w:type="spellEnd"/>
      <w:r>
        <w:t xml:space="preserve"> and Statman 2000), charitable giving (Sussman, Sharma and Alter 2015), savings and debts (Thaler 1990), and energy consumption (</w:t>
      </w:r>
      <w:proofErr w:type="spellStart"/>
      <w:r>
        <w:t>Hahnel</w:t>
      </w:r>
      <w:proofErr w:type="spellEnd"/>
      <w:r>
        <w:t xml:space="preserve"> et al. 2020). Thaler’s work, in particular, played a fundamental role in the early development of behavioral sciences. </w:t>
      </w:r>
    </w:p>
    <w:p w:rsidR="00750EF6" w:rsidRDefault="002B2CD6">
      <w:pPr>
        <w:ind w:firstLine="720"/>
      </w:pPr>
      <w:r>
        <w:t>Despite initial resistance (Shiller 2017), mental accounting is now generally accepted as a key framework for studying and explaining human behavior, as evidenced by publications in leading economics (</w:t>
      </w:r>
      <w:proofErr w:type="spellStart"/>
      <w:r>
        <w:t>Kőszegi</w:t>
      </w:r>
      <w:proofErr w:type="spellEnd"/>
      <w:r>
        <w:t xml:space="preserve"> and </w:t>
      </w:r>
      <w:proofErr w:type="spellStart"/>
      <w:r>
        <w:t>Matějka</w:t>
      </w:r>
      <w:proofErr w:type="spellEnd"/>
      <w:r>
        <w:t xml:space="preserve"> 2020; Lian 2021) and marketing journals since its inception (see, Heat and Soll 1996; </w:t>
      </w:r>
      <w:proofErr w:type="spellStart"/>
      <w:r>
        <w:t>Gourville</w:t>
      </w:r>
      <w:proofErr w:type="spellEnd"/>
      <w:r>
        <w:t xml:space="preserve"> 1998; Prelect and Loewenstein 1998; </w:t>
      </w:r>
      <w:proofErr w:type="spellStart"/>
      <w:r>
        <w:t>Soman</w:t>
      </w:r>
      <w:proofErr w:type="spellEnd"/>
      <w:r>
        <w:t xml:space="preserve"> and </w:t>
      </w:r>
      <w:proofErr w:type="spellStart"/>
      <w:r>
        <w:t>Gourville</w:t>
      </w:r>
      <w:proofErr w:type="spellEnd"/>
      <w:r>
        <w:t xml:space="preserve"> 2001; </w:t>
      </w:r>
      <w:proofErr w:type="spellStart"/>
      <w:r>
        <w:t>Soman</w:t>
      </w:r>
      <w:proofErr w:type="spellEnd"/>
      <w:r>
        <w:t xml:space="preserve"> and Cheema 2011; Reinholtz, Bartels, and Parker, 2015). The theory has continued to </w:t>
      </w:r>
      <w:proofErr w:type="spellStart"/>
      <w:r>
        <w:t>develeop</w:t>
      </w:r>
      <w:proofErr w:type="spellEnd"/>
      <w:r>
        <w:t xml:space="preserve"> in the last ten years (Atlas and Bartels 2018; Hossain 2018; Tully and Sharma, 2018; </w:t>
      </w:r>
      <w:proofErr w:type="spellStart"/>
      <w:r>
        <w:t>Kelting</w:t>
      </w:r>
      <w:proofErr w:type="spellEnd"/>
      <w:r>
        <w:t xml:space="preserve">, Robinson and Lutz 2019; Choe and Kan 2021; Evers, </w:t>
      </w:r>
      <w:proofErr w:type="spellStart"/>
      <w:r>
        <w:t>Imas</w:t>
      </w:r>
      <w:proofErr w:type="spellEnd"/>
      <w:r>
        <w:t xml:space="preserve">, and Kang 2021; Lee and </w:t>
      </w:r>
      <w:proofErr w:type="spellStart"/>
      <w:r>
        <w:t>Morewedge</w:t>
      </w:r>
      <w:proofErr w:type="spellEnd"/>
      <w:r>
        <w:t xml:space="preserve"> 2023; Fei, Bartels, and Zhang 2025; see also, Sussman, Wang, and </w:t>
      </w:r>
      <w:proofErr w:type="spellStart"/>
      <w:r>
        <w:t>Apalkova</w:t>
      </w:r>
      <w:proofErr w:type="spellEnd"/>
      <w:r>
        <w:t xml:space="preserve"> 2022).</w:t>
      </w:r>
    </w:p>
    <w:p w:rsidR="00750EF6" w:rsidRDefault="002B2CD6">
      <w:pPr>
        <w:ind w:firstLine="720"/>
      </w:pPr>
      <w:r>
        <w:t xml:space="preserve">To provide a sense of the importance of mental accounting, a Web of Science search conducted in March 2026 returned a total of 712 papers published on the topic between 1984 and 2026, 45 of which appeared in the five top marketing journals (i.e., Journal of Consumer Research, Journal of Marketing Research, Journal of Marketing, Journal of Consumer Psychology, and Marketing Science). These 712 papers were cited 24,065 times, with the subset of 45 published in top marketing journals being cited 7,113 times. Similarly, the original papers have all been widely cited: Tversky and Kahneman (1981) 13,280 citations, Kahneman and Tversky (1982) 1,235 citations, Thaler (1985) 2,657 citations, and Thaler (1999) 2,453 citations, </w:t>
      </w:r>
      <w:proofErr w:type="spellStart"/>
      <w:r>
        <w:t>Shafir</w:t>
      </w:r>
      <w:proofErr w:type="spellEnd"/>
      <w:r>
        <w:t xml:space="preserve"> and Thaler (2006), 123 citations. The pivotal role played by mental accounting in influencing the study of consumer behavior is showcased by the </w:t>
      </w:r>
      <w:r>
        <w:lastRenderedPageBreak/>
        <w:t xml:space="preserve">decision to award the 2017 Nobel Prize in economics to Richard Thaler. Two recent literature reviews (Silva, Moreira and </w:t>
      </w:r>
      <w:proofErr w:type="spellStart"/>
      <w:r>
        <w:t>Bortolon</w:t>
      </w:r>
      <w:proofErr w:type="spellEnd"/>
      <w:r>
        <w:t xml:space="preserve"> 2023; </w:t>
      </w:r>
      <w:proofErr w:type="spellStart"/>
      <w:r>
        <w:t>Skwara</w:t>
      </w:r>
      <w:proofErr w:type="spellEnd"/>
      <w:r>
        <w:t xml:space="preserve"> 2023) further reflect the current interest in the topic. </w:t>
      </w:r>
    </w:p>
    <w:p w:rsidR="00750EF6" w:rsidRDefault="002B2CD6">
      <w:pPr>
        <w:ind w:firstLine="720"/>
      </w:pPr>
      <w:r>
        <w:t>One of the most significant contributions of mental accounting to the understanding of consumer behavior is the integration of psychological constructs into the analysis of consumers’ decision-making processes, which challenges the classical economic view of consumer rationality. Thaler (1985) suggested that the economic theory of the consumer did not lead to widespread applications in marketing because it neglected most of the marketing variables with the exception of price and product characteristics. Instead, Thaler explained how many marketing variables would fall into the category that Kahneman and Tversky (1981) had labeled as framing. Thus, Thaler (1985) proposed a set of new concepts showing that consumers are impacted by the way they code outcomes as gains versus losses, by how they evaluate a purchase (transaction utility), and by budgetary rules.</w:t>
      </w:r>
    </w:p>
    <w:p w:rsidR="00750EF6" w:rsidRDefault="002B2CD6">
      <w:pPr>
        <w:ind w:firstLine="720"/>
      </w:pPr>
      <w:r>
        <w:t>For instance, Thaler’s early work showed that consumers create distinct mental accounts for specific types of expenses (e.g., paying bills versus paying for leisure activities) and are unwilling to transfer money across different accounts. This is a violation of the principle of fungibility (</w:t>
      </w:r>
      <w:proofErr w:type="spellStart"/>
      <w:r>
        <w:t>Abeler</w:t>
      </w:r>
      <w:proofErr w:type="spellEnd"/>
      <w:r>
        <w:t xml:space="preserve"> and </w:t>
      </w:r>
      <w:proofErr w:type="spellStart"/>
      <w:r>
        <w:t>Marklein</w:t>
      </w:r>
      <w:proofErr w:type="spellEnd"/>
      <w:r>
        <w:t xml:space="preserve"> 2017; Thaler 1990), which states that different forms of wealth can be substituted for each other, i.e., be used interchangeably to meet a person’s economic needs. Individuals may instead prefer to track their budget and spending by splitting their economic activities into different categories based on what they use their money for (Heath and Soll 1996; </w:t>
      </w:r>
      <w:proofErr w:type="spellStart"/>
      <w:r>
        <w:t>Soman</w:t>
      </w:r>
      <w:proofErr w:type="spellEnd"/>
      <w:r>
        <w:t xml:space="preserve"> and </w:t>
      </w:r>
      <w:proofErr w:type="spellStart"/>
      <w:r>
        <w:t>Gourville</w:t>
      </w:r>
      <w:proofErr w:type="spellEnd"/>
      <w:r>
        <w:t xml:space="preserve"> 2001; </w:t>
      </w:r>
      <w:proofErr w:type="spellStart"/>
      <w:r>
        <w:t>Soman</w:t>
      </w:r>
      <w:proofErr w:type="spellEnd"/>
      <w:r>
        <w:t xml:space="preserve"> and Lam 2002) or the medium used to make a purchase (see, Liu and Chou 2018; Liu and </w:t>
      </w:r>
      <w:proofErr w:type="spellStart"/>
      <w:r>
        <w:t>Dewitte</w:t>
      </w:r>
      <w:proofErr w:type="spellEnd"/>
      <w:r>
        <w:t xml:space="preserve"> 2021; </w:t>
      </w:r>
      <w:proofErr w:type="spellStart"/>
      <w:r>
        <w:t>Prelec</w:t>
      </w:r>
      <w:proofErr w:type="spellEnd"/>
      <w:r>
        <w:t xml:space="preserve"> and Loewenstein 1998; Thomas, Desai and </w:t>
      </w:r>
      <w:proofErr w:type="spellStart"/>
      <w:r>
        <w:t>Seenivasan</w:t>
      </w:r>
      <w:proofErr w:type="spellEnd"/>
      <w:r>
        <w:t xml:space="preserve"> 2011).</w:t>
      </w:r>
    </w:p>
    <w:p w:rsidR="00750EF6" w:rsidRDefault="002B2CD6">
      <w:pPr>
        <w:ind w:firstLine="720"/>
      </w:pPr>
      <w:r>
        <w:lastRenderedPageBreak/>
        <w:t xml:space="preserve">The creation of different mental accounts has thus been considered an intuitive strategy that consumers use to maintain self-control on their expenses (Thaler, 1999). For instance, most people associate their investments with savings and are reluctant to use them for exceptional expenses (e.g., remodeling their kitchen). Consumers also use money differently depending on how they categorize it (i.e., depending on the mental account “opened” for a specific purchase). For example, they tend to use a tax refund for exceptional and hedonic expenses rather than everyday purchases (as they would with their salary), or to save it (as they usually do when receiving a bonus from stock investments; </w:t>
      </w:r>
      <w:proofErr w:type="spellStart"/>
      <w:r>
        <w:t>Shefrin</w:t>
      </w:r>
      <w:proofErr w:type="spellEnd"/>
      <w:r>
        <w:t xml:space="preserve"> and Thaler, 1988). In addition, mental accounting also influences decisions as consumers rely on contextual cues (e.g., how a specific expense is framed). For instance, the construct of transaction utility suggests that money could be sacrificed in some circumstances but not others (e.g., paying more for a drink in a fancy resort versus a rundown store; Thaler 1985). Similarly, people’s use of money changes depending on whether it is framed as belonging to a specific mental account (e.g., leisure activities) or not (Thaler 1985, 1990, 1999). </w:t>
      </w:r>
    </w:p>
    <w:p w:rsidR="00750EF6" w:rsidRDefault="002B2CD6">
      <w:pPr>
        <w:ind w:firstLine="720"/>
      </w:pPr>
      <w:r>
        <w:t xml:space="preserve">Mental accounting is still very influential in the marketing literature as shown by more recent work on budgeting decisions (see Sussman et al., 2022 for a review). At times, consumers may be strict with their mental budgets: consumers tend to have a fixed budget to spend on fuel, thus selecting lower grades of gasoline when prices increase and higher grades when prices decrease (Hastings and Shapiro 2013). At other times, consumers may have more malleable mental accounts: they tend to spend more on purchases labeled as exceptional than on purchases labeled as regular expenses. This is because exceptional purchases are framed more narrowly and are less easily incorporated into future budgets (Sussman and Alter, 2012; Sussman et al., 2015).  Similar malleability is observed with the </w:t>
      </w:r>
      <w:r>
        <w:lastRenderedPageBreak/>
        <w:t xml:space="preserve">use of promotional credits, where the discount offered by a promotional gift card is deducted twice (“double discount”; Cheng and </w:t>
      </w:r>
      <w:proofErr w:type="spellStart"/>
      <w:r>
        <w:t>Cryder</w:t>
      </w:r>
      <w:proofErr w:type="spellEnd"/>
      <w:r>
        <w:t>, 2018). Recent work has also focused on models to generate predictions of preference outcome timing (hedonic hypothesis; Evers et al., 2021) and to explain reference price adaptation (</w:t>
      </w:r>
      <w:proofErr w:type="spellStart"/>
      <w:r>
        <w:t>Baucells</w:t>
      </w:r>
      <w:proofErr w:type="spellEnd"/>
      <w:r>
        <w:t xml:space="preserve"> and Hwang, 2017) as well as the likelihood of consumers purchasing add-ons (</w:t>
      </w:r>
      <w:proofErr w:type="spellStart"/>
      <w:r>
        <w:t>Erat</w:t>
      </w:r>
      <w:proofErr w:type="spellEnd"/>
      <w:r>
        <w:t xml:space="preserve"> and </w:t>
      </w:r>
      <w:proofErr w:type="spellStart"/>
      <w:r>
        <w:t>Bhaskaran</w:t>
      </w:r>
      <w:proofErr w:type="spellEnd"/>
      <w:r>
        <w:t>, 2012).</w:t>
      </w:r>
    </w:p>
    <w:p w:rsidR="00750EF6" w:rsidRDefault="00750EF6">
      <w:pPr>
        <w:ind w:firstLine="720"/>
      </w:pPr>
    </w:p>
    <w:p w:rsidR="00750EF6" w:rsidRDefault="00750EF6">
      <w:pPr>
        <w:ind w:firstLine="720"/>
      </w:pPr>
    </w:p>
    <w:p w:rsidR="00750EF6" w:rsidRDefault="002B2CD6">
      <w:pPr>
        <w:rPr>
          <w:b/>
          <w:bCs/>
        </w:rPr>
      </w:pPr>
      <w:bookmarkStart w:id="3" w:name="_heading=h.5iqciupnlnjg" w:colFirst="0" w:colLast="0"/>
      <w:bookmarkEnd w:id="3"/>
      <w:r>
        <w:rPr>
          <w:b/>
          <w:bCs/>
        </w:rPr>
        <w:t>The Need for Replication in Consumer Behavior Research</w:t>
      </w:r>
    </w:p>
    <w:p w:rsidR="00750EF6" w:rsidRDefault="00750EF6"/>
    <w:p w:rsidR="00750EF6" w:rsidRDefault="002B2CD6">
      <w:pPr>
        <w:ind w:firstLine="720"/>
      </w:pPr>
      <w:r>
        <w:t xml:space="preserve">Considering the pivotal role of mental accounting in consumer research, we deemed it essential to replicate its core findings for three main reasons. First, in the last two decades, psychological research has undergone a ‘replication crisis’ that extended to related fields like marketing and consumer research (Krishna 2021; </w:t>
      </w:r>
      <w:proofErr w:type="spellStart"/>
      <w:r>
        <w:t>Munafò</w:t>
      </w:r>
      <w:proofErr w:type="spellEnd"/>
      <w:r>
        <w:t xml:space="preserve"> et al. 2017). This crisis called into question the reliability of many (then-considered) classic findings in psychology and marketing (</w:t>
      </w:r>
      <w:proofErr w:type="spellStart"/>
      <w:r>
        <w:t>e.g</w:t>
      </w:r>
      <w:proofErr w:type="spellEnd"/>
      <w:r>
        <w:t xml:space="preserve">, ego depletion, social priming), and showed that some questionable methodological and statistical practices (e.g., small sample sizes, ‘p-hacking’ and the file-drawer effect) had become widespread (Ioannidis 2005; </w:t>
      </w:r>
      <w:proofErr w:type="spellStart"/>
      <w:r>
        <w:t>Loken</w:t>
      </w:r>
      <w:proofErr w:type="spellEnd"/>
      <w:r>
        <w:t xml:space="preserve"> and Gelman 2017; Open Science Collaboration 2015; Simmons, Nelson and Simonsohn 2011; Simonsohn, Nelson and Simmons 2014). Scholars in the field have thus called for more rigorous and transparent scientific practices (Wood 2024). As research practices continue to evolve and improve, it has become essential to ensure that foundational models and theories developed in the past, including mental accounting, are robust across time and under new, improved research standards. Researchers have already presented large-scale replications of related subjects, </w:t>
      </w:r>
      <w:r>
        <w:lastRenderedPageBreak/>
        <w:t xml:space="preserve">such as prospect theory (Ruggeri et al., 2020) and heuristics (Klein et al., 2014), thereby bolstering their reliability and expanding their impact within the behavioral sciences. To the best of our knowledge, such testing has not yet been performed on mental accounting. </w:t>
      </w:r>
    </w:p>
    <w:p w:rsidR="00750EF6" w:rsidRDefault="002B2CD6">
      <w:pPr>
        <w:ind w:firstLine="720"/>
      </w:pPr>
      <w:r>
        <w:t xml:space="preserve">Second, another critique of behavioral sciences is the reliance on samples from higher-income, Western countries for drawing conclusions. This approach has been referred to as WEIRD (Western, Educated, Industrialized, Rich, and Democratic) (Henrich, </w:t>
      </w:r>
      <w:proofErr w:type="spellStart"/>
      <w:r>
        <w:t>Ensminger</w:t>
      </w:r>
      <w:proofErr w:type="spellEnd"/>
      <w:r>
        <w:t xml:space="preserve">, et al. 2010; Henrich, Heine, and </w:t>
      </w:r>
      <w:proofErr w:type="spellStart"/>
      <w:r>
        <w:t>Norenzayan</w:t>
      </w:r>
      <w:proofErr w:type="spellEnd"/>
      <w:r>
        <w:t xml:space="preserve"> 2010), though the appropriateness of that dichotomization may itself be problematic (</w:t>
      </w:r>
      <w:proofErr w:type="spellStart"/>
      <w:r>
        <w:t>Ghai</w:t>
      </w:r>
      <w:proofErr w:type="spellEnd"/>
      <w:r>
        <w:t xml:space="preserve"> 2021). Still, if the goal is to robustly understand human behavior, broader and more inclusive approaches to sampling that expand the countries and populations involved are necessary. Otherwise, narrow samples may relate only to behaviors observed within those specific systems. </w:t>
      </w:r>
    </w:p>
    <w:p w:rsidR="00750EF6" w:rsidRDefault="002B2CD6">
      <w:pPr>
        <w:ind w:firstLine="720"/>
      </w:pPr>
      <w:r>
        <w:t xml:space="preserve">The original mental accounting studies themselves were conducted with relatively small U.S. samples and often limited to college students, an even less generalizable set of participants. We therefore invested heavily in testing whether the conclusions of these original studies generalize more broadly by involving individuals and populations outside those typically considered WEIRD. Large between-nations studies on intertemporal choice show that cultural dimensions and broader financial conditions systematically shape economic decision-making across countries (Ruggeri et al., 2022; Wang, Rieger and Hens 2016), suggesting that such variation is plausible also for mental accounting and that a broader sample will produce a richer understanding of human behavior. </w:t>
      </w:r>
    </w:p>
    <w:p w:rsidR="00750EF6" w:rsidRDefault="002B2CD6">
      <w:pPr>
        <w:ind w:firstLine="720"/>
      </w:pPr>
      <w:r>
        <w:t xml:space="preserve">Another important reason to extend the analysis of mental accounting to other countries is that it is related to consumption decisions that may vary depending on specific factors unique to different countries and populations. For instance, mental accounting effects </w:t>
      </w:r>
      <w:r>
        <w:lastRenderedPageBreak/>
        <w:t xml:space="preserve">could be lower in countries with lower average incomes than those in which it has traditionally been studied. It may also vary based on countries’ levels of income inequality, depending on the presence of a large welfare state, or when using different currency denominations. Larger income inequality may lead to more mental accounting because a larger number of households need to carefully consider the way they spend money compared to countries where income inequality is low. Related, the welfare state may provide support to citizens leading to a reduced need to keep tight control on the way they spend or save money (e.g., because of public healthcare or pension systems). This would be consistent with findings that inequality and welfare‑state orientation shape household financial fragility and planning </w:t>
      </w:r>
      <w:proofErr w:type="spellStart"/>
      <w:r>
        <w:t>behaviour</w:t>
      </w:r>
      <w:proofErr w:type="spellEnd"/>
      <w:r>
        <w:t xml:space="preserve"> (</w:t>
      </w:r>
      <w:proofErr w:type="spellStart"/>
      <w:r>
        <w:t>Comelli</w:t>
      </w:r>
      <w:proofErr w:type="spellEnd"/>
      <w:r>
        <w:t xml:space="preserve">, 2021; </w:t>
      </w:r>
      <w:proofErr w:type="spellStart"/>
      <w:r>
        <w:t>Setterfield</w:t>
      </w:r>
      <w:proofErr w:type="spellEnd"/>
      <w:r>
        <w:t xml:space="preserve"> and Kim, 2024). Finally, larger currency denominations may induce people to accept discounts regardless of the base price as the high nominal values of the currency can give the impression that the reduction represents a substantial cut to the original price, a pattern that would be consistent with the denomination effect observed in consumer research (</w:t>
      </w:r>
      <w:proofErr w:type="spellStart"/>
      <w:r>
        <w:t>Raghubir</w:t>
      </w:r>
      <w:proofErr w:type="spellEnd"/>
      <w:r>
        <w:t xml:space="preserve"> and Srivastava, 2009).</w:t>
      </w:r>
    </w:p>
    <w:p w:rsidR="00750EF6" w:rsidRDefault="002B2CD6">
      <w:pPr>
        <w:ind w:firstLine="720"/>
      </w:pPr>
      <w:r>
        <w:t xml:space="preserve">Third, much has changed in the way consumers manage their finances compared to the world for which the original scenarios were designed. For instance, when the model was developed in the 1980s, most transactions relied on cash or checks, and credit card use was still limited in many countries. Now, online banking offers an easy way to check one’s expenses, whereas in the past, it could only be done by tallying receipts, balancing a checkbook, or receiving a bank statement. At the same time, other developments, such as digital payments and subscription plans, have made it harder for consumers to have a clear idea of their spending (Mack 2023). The rapid increase in efficient digital transactions has </w:t>
      </w:r>
      <w:r>
        <w:lastRenderedPageBreak/>
        <w:t>been so sudden in some areas and slower in others, presenting both a need and an opportunity to test if or how mental accounting relates in contemporary consumer systems.</w:t>
      </w:r>
    </w:p>
    <w:p w:rsidR="00750EF6" w:rsidRDefault="00750EF6">
      <w:pPr>
        <w:ind w:firstLine="720"/>
      </w:pPr>
    </w:p>
    <w:p w:rsidR="00750EF6" w:rsidRDefault="002B2CD6">
      <w:pPr>
        <w:rPr>
          <w:b/>
          <w:bCs/>
        </w:rPr>
      </w:pPr>
      <w:bookmarkStart w:id="4" w:name="_heading=h.ij55a2bnogwb" w:colFirst="0" w:colLast="0"/>
      <w:bookmarkEnd w:id="4"/>
      <w:r>
        <w:rPr>
          <w:b/>
          <w:bCs/>
        </w:rPr>
        <w:t>Key Aims of the Present Study</w:t>
      </w:r>
    </w:p>
    <w:p w:rsidR="00750EF6" w:rsidRDefault="00750EF6"/>
    <w:p w:rsidR="00750EF6" w:rsidRDefault="002B2CD6">
      <w:pPr>
        <w:ind w:firstLine="720"/>
      </w:pPr>
      <w:r>
        <w:rPr>
          <w:i/>
          <w:iCs/>
        </w:rPr>
        <w:t xml:space="preserve">Assessing replicability of mental accounting. </w:t>
      </w:r>
      <w:r>
        <w:t xml:space="preserve">Building on these motivations, we designed and pre-registered our study to rigorously test the replicability and generalizability of mental accounting over time and across diverse cultural and economic contexts, using a large and statistically reliable sample. Failing to replicate the original results would raise questions about a model at the core of the behavioral sciences and cast doubt on many of its practical applications. Alternatively, partial replication in certain countries could help identify boundary conditions where mental accounting is more likely to impact consumers’ decisions, offering important insights for real-world applications. Critically, a successful replication of a majority of the scenarios in most countries would strengthen our confidence in its reliability and robustness. </w:t>
      </w:r>
    </w:p>
    <w:p w:rsidR="00750EF6" w:rsidRDefault="002B2CD6">
      <w:pPr>
        <w:ind w:firstLine="720"/>
      </w:pPr>
      <w:r>
        <w:rPr>
          <w:i/>
          <w:iCs/>
        </w:rPr>
        <w:t xml:space="preserve">Examining heterogeneity by individual differences. </w:t>
      </w:r>
      <w:r>
        <w:t>Using a large, non-student sample allows us to test potential moderating effects on mental accounting. While previous work explored the role of some individual differences, such as cognitive style (Hossain 2018), it remains unclear whether mental accounting constitutes a robust and universal psychological model of economic decisions. To this end, our second objective was to investigate the possible moderation effect of household income and financial literacy (</w:t>
      </w:r>
      <w:proofErr w:type="spellStart"/>
      <w:r>
        <w:t>Deuflhard</w:t>
      </w:r>
      <w:proofErr w:type="spellEnd"/>
      <w:r>
        <w:t xml:space="preserve">, </w:t>
      </w:r>
      <w:proofErr w:type="spellStart"/>
      <w:r>
        <w:t>Georgarakos</w:t>
      </w:r>
      <w:proofErr w:type="spellEnd"/>
      <w:r>
        <w:t xml:space="preserve"> and </w:t>
      </w:r>
      <w:proofErr w:type="spellStart"/>
      <w:r>
        <w:t>Inderst</w:t>
      </w:r>
      <w:proofErr w:type="spellEnd"/>
      <w:r>
        <w:t xml:space="preserve"> 2019; Lusardi and Mitchell 2017; Bai, 2023), which have only been tested in previous smaller-scale studies (</w:t>
      </w:r>
      <w:proofErr w:type="spellStart"/>
      <w:r>
        <w:t>Muehlbacher</w:t>
      </w:r>
      <w:proofErr w:type="spellEnd"/>
      <w:r>
        <w:t xml:space="preserve"> and </w:t>
      </w:r>
      <w:proofErr w:type="spellStart"/>
      <w:r>
        <w:t>Kirchler</w:t>
      </w:r>
      <w:proofErr w:type="spellEnd"/>
      <w:r>
        <w:t xml:space="preserve"> 2019). Although previous </w:t>
      </w:r>
      <w:r>
        <w:lastRenderedPageBreak/>
        <w:t>studies have consistently shown that understanding basic economic concepts makes a difference in people’s decisions, for example, saving more for retirement (</w:t>
      </w:r>
      <w:proofErr w:type="spellStart"/>
      <w:r>
        <w:t>Deuflhard</w:t>
      </w:r>
      <w:proofErr w:type="spellEnd"/>
      <w:r>
        <w:t xml:space="preserve"> et al. 2019; Lusardi and Mitchell 2017), the possible relationship between these two variables is not trivial and has seldom been investigated in the past (Silva et al., 2023). From one perspective, mental accounting is a bias with potentially negative consequences for spending and saving, since it violates fungibility. Conversely, effectively harnessing mental accounting can facilitate self-control over expenses. Thus, reasonable arguments could be made for a relationship in either direction. Relatedly, it is worth assessing possible effects of household income, as wealthier individuals have fewer financial constraints, potentially reducing the need for sensitivity to smaller values compared to those with a lower income.</w:t>
      </w:r>
    </w:p>
    <w:p w:rsidR="00750EF6" w:rsidRDefault="002B2CD6">
      <w:pPr>
        <w:ind w:firstLine="720"/>
      </w:pPr>
      <w:r>
        <w:rPr>
          <w:i/>
          <w:iCs/>
        </w:rPr>
        <w:t xml:space="preserve">Examining heterogeneity by country-level factors. </w:t>
      </w:r>
      <w:r>
        <w:t>Lastly, by collecting data in a diverse set of countries, including those underrepresented in behavioral research, we could also explore potential effects of socio-economic differences across countries. Considering how nations differ in their economic conditions (e.g., GDP per capita, currency denomination) and broader societal structures (e.g., levels of democracy and inequality), it is plausible that mental accounting may manifest differently across contexts. For example, in lower-GDP countries, consumers may have less discretionary income, making even small discounts economically significant, regardless of whether they apply to low- or high-priced items. As a result, people may focus more on the absolute value of the savings than on relative pricing differences. Additionally, mental accounting strategies developed in higher-income contexts may be less intuitive or ecologically valid in settings where financial decisions are more constrained or less flexible.</w:t>
      </w:r>
    </w:p>
    <w:p w:rsidR="00750EF6" w:rsidRDefault="002B2CD6">
      <w:pPr>
        <w:ind w:firstLine="720"/>
      </w:pPr>
      <w:r>
        <w:lastRenderedPageBreak/>
        <w:t>Failing to detect effects of individual or socio-economic country characteristics on how mental accounting manifests would reinforce the notion of mental accounting as a universal cognitive mechanism, which operates consistently across individual differences and cultural contexts. Conversely, identifying significant effects across countries would offer valuable insights into the contextual variability of mental accounting. These findings could inform practitioners and policymakers by enabling them to tailor interventions or financial strategies more effectively, leveraging mental accounting principles and considering clients’ individual characteristics and geographical or cultural backgrounds.</w:t>
      </w:r>
    </w:p>
    <w:p w:rsidR="00750EF6" w:rsidRDefault="00750EF6"/>
    <w:p w:rsidR="00750EF6" w:rsidRDefault="002B2CD6">
      <w:pPr>
        <w:rPr>
          <w:b/>
          <w:bCs/>
        </w:rPr>
      </w:pPr>
      <w:bookmarkStart w:id="5" w:name="_heading=h.drip8rhqtyk1" w:colFirst="0" w:colLast="0"/>
      <w:bookmarkEnd w:id="5"/>
      <w:r>
        <w:rPr>
          <w:b/>
          <w:bCs/>
        </w:rPr>
        <w:t>Mental accounting operationalization</w:t>
      </w:r>
    </w:p>
    <w:p w:rsidR="00750EF6" w:rsidRDefault="00750EF6"/>
    <w:p w:rsidR="00750EF6" w:rsidRDefault="002B2CD6">
      <w:pPr>
        <w:ind w:right="380" w:firstLine="720"/>
      </w:pPr>
      <w:r>
        <w:t xml:space="preserve">We chose to replicate a subset of mental accounting scenarios to capture the theory’s core principles while still reflecting the breadth of contexts examined in the literature. The selected scenarios vary along several important dimensions: whether decisions are made individually or in social settings, whether individuals decide for themselves or on behalf of others, and whether the task involves making a choice or determining a price. Specifically, we selected seven scenarios that represent the foundational elements of the original model and have significantly impacted thinking across scientific and applied domains. To ensure contemporary relevance, we also incorporated more recent scenarios that reflect situations consumers may face today (table 1). </w:t>
      </w:r>
    </w:p>
    <w:p w:rsidR="00750EF6" w:rsidRDefault="002B2CD6">
      <w:pPr>
        <w:ind w:right="380" w:firstLine="720"/>
        <w:rPr>
          <w:color w:val="434343"/>
        </w:rPr>
      </w:pPr>
      <w:r>
        <w:t xml:space="preserve">Crucially, all selected scenarios have clear relevance to consumer behavior and are frequently cited. According to a Web of Science search in March 2026, three of the five original papers in which the scenarios first appeared have more than 2,000 citations each </w:t>
      </w:r>
      <w:r>
        <w:lastRenderedPageBreak/>
        <w:t>(Tversky and Kahneman, 1981; Thaler, 1985, 1999). Another has been cited more than 1,200 (Kahneman and Tversky, 1982), and the most recent was cited more than 100 times (</w:t>
      </w:r>
      <w:proofErr w:type="spellStart"/>
      <w:r>
        <w:t>Shafir</w:t>
      </w:r>
      <w:proofErr w:type="spellEnd"/>
      <w:r>
        <w:t xml:space="preserve"> and Thaler, 2006). Beyond their impact, these scenarios enable us to test for the heterogeneity and variety of mental accounting effects while remaining grounded in two of its most important tenets: transaction utility and decision frames. Below, we outline the theoretical underpinnings of each selected scenario and explain why they are relevant for understanding mental accounting in consumer decision-making</w:t>
      </w:r>
      <w:r>
        <w:rPr>
          <w:color w:val="434343"/>
        </w:rPr>
        <w:t>.</w:t>
      </w:r>
    </w:p>
    <w:p w:rsidR="00750EF6" w:rsidRDefault="002B2CD6">
      <w:pPr>
        <w:ind w:firstLine="720"/>
      </w:pPr>
      <w:r>
        <w:rPr>
          <w:i/>
          <w:iCs/>
        </w:rPr>
        <w:t>Combined outcomes</w:t>
      </w:r>
      <w:r>
        <w:rPr>
          <w:rFonts w:ascii="Roboto" w:eastAsia="Roboto" w:hAnsi="Roboto" w:cs="Roboto"/>
          <w:i/>
          <w:iCs/>
          <w:color w:val="444746"/>
        </w:rPr>
        <w:t>—</w:t>
      </w:r>
      <w:proofErr w:type="spellStart"/>
      <w:r>
        <w:rPr>
          <w:i/>
          <w:iCs/>
        </w:rPr>
        <w:t>MrAB</w:t>
      </w:r>
      <w:proofErr w:type="spellEnd"/>
      <w:r>
        <w:rPr>
          <w:i/>
          <w:iCs/>
        </w:rPr>
        <w:t xml:space="preserve"> scenarios. </w:t>
      </w:r>
      <w:r>
        <w:t>One of Thaler’s initial objectives was to use “the concept of mental accounting to move further towards a behaviorally based theory of consumer choice” (Thaler, 1985, p. 201). In doing so, he extended the value function to analyze compounded outcomes (e.g., two gains or two losses, a mixed gain (x &gt; 0 &gt; y; x &gt; |y|) or a mixed loss (x &gt; 0 &gt; y; x &lt; |y|); for additional details see the web appendix). The “</w:t>
      </w:r>
      <w:proofErr w:type="spellStart"/>
      <w:r>
        <w:t>MrAB</w:t>
      </w:r>
      <w:proofErr w:type="spellEnd"/>
      <w:r>
        <w:t xml:space="preserve">” scenarios test a set of conditions in which participants are asked to report which of two characters is happier (or more upset). In each situation, the two characters obtain either a gain or a loss, but for one of them it is presented as a lump sum while for the other it is presented as two segregated outcomes (table 1). This approach allows for the assessment of when people prefer an integrated (lump sum) versus segregated outcomes. Although the analysis of combined outcomes has been studied less frequently than other mental accounting effects, it is particularly relevant for consumer research due to its wide-ranging practical applications (e.g., pricing strategies like bundling product features or add-ons and product framing, </w:t>
      </w:r>
      <w:proofErr w:type="spellStart"/>
      <w:r>
        <w:t>Erat</w:t>
      </w:r>
      <w:proofErr w:type="spellEnd"/>
      <w:r>
        <w:t xml:space="preserve"> and </w:t>
      </w:r>
      <w:proofErr w:type="spellStart"/>
      <w:r>
        <w:t>Bhaskaran</w:t>
      </w:r>
      <w:proofErr w:type="spellEnd"/>
      <w:r>
        <w:t xml:space="preserve">, 2012; </w:t>
      </w:r>
      <w:proofErr w:type="spellStart"/>
      <w:r>
        <w:t>Prelec</w:t>
      </w:r>
      <w:proofErr w:type="spellEnd"/>
      <w:r>
        <w:t xml:space="preserve"> and Loewenstein, 1998; </w:t>
      </w:r>
      <w:proofErr w:type="spellStart"/>
      <w:r>
        <w:t>Skwara</w:t>
      </w:r>
      <w:proofErr w:type="spellEnd"/>
      <w:r>
        <w:t xml:space="preserve">, 2023). </w:t>
      </w:r>
    </w:p>
    <w:p w:rsidR="00750EF6" w:rsidRDefault="002B2CD6">
      <w:pPr>
        <w:ind w:firstLine="720"/>
      </w:pPr>
      <w:r>
        <w:rPr>
          <w:i/>
          <w:iCs/>
        </w:rPr>
        <w:t>Transaction utility</w:t>
      </w:r>
      <w:r>
        <w:rPr>
          <w:rFonts w:ascii="Roboto" w:eastAsia="Roboto" w:hAnsi="Roboto" w:cs="Roboto"/>
          <w:i/>
          <w:iCs/>
          <w:color w:val="444746"/>
        </w:rPr>
        <w:t>—</w:t>
      </w:r>
      <w:r>
        <w:rPr>
          <w:i/>
          <w:iCs/>
        </w:rPr>
        <w:t xml:space="preserve">Game and Drink scenarios. </w:t>
      </w:r>
      <w:r>
        <w:t xml:space="preserve">Transaction utility is defined as the price the consumer pays compared to the reference price (Thaler 1985). According to Thaler, </w:t>
      </w:r>
      <w:r>
        <w:lastRenderedPageBreak/>
        <w:t xml:space="preserve">a major factor in determining the reference price is fairness, which is defined as the cost to the seller. The “Game” scenario (Thaler 1985) shows that sellers set a price based on the anchor available (e.g., the price marked on the ticket, market price, or actual cost incurred) and their assessment of a fair price is influenced by the buyers’ perceptions of the sellers’ costs (table 1). This perception, in turn, impacts the </w:t>
      </w:r>
      <w:r>
        <w:rPr>
          <w:i/>
          <w:iCs/>
        </w:rPr>
        <w:t>reference price</w:t>
      </w:r>
      <w:r>
        <w:t xml:space="preserve">. In the “Drink” scenario, participants perceive that the fair price to pay is significantly different depending on where a drink is bought (e.g., a small, run-down grocery store or a fancy resort) although acquisition utility does not change. </w:t>
      </w:r>
      <w:r>
        <w:tab/>
      </w:r>
    </w:p>
    <w:p w:rsidR="00750EF6" w:rsidRDefault="002B2CD6">
      <w:pPr>
        <w:ind w:firstLine="720"/>
      </w:pPr>
      <w:r>
        <w:rPr>
          <w:i/>
          <w:iCs/>
        </w:rPr>
        <w:t>Decision frames</w:t>
      </w:r>
      <w:r>
        <w:rPr>
          <w:rFonts w:ascii="Roboto" w:eastAsia="Roboto" w:hAnsi="Roboto" w:cs="Roboto"/>
          <w:i/>
          <w:iCs/>
          <w:color w:val="444746"/>
        </w:rPr>
        <w:t>—</w:t>
      </w:r>
      <w:r>
        <w:rPr>
          <w:i/>
          <w:iCs/>
        </w:rPr>
        <w:t xml:space="preserve">Jacket scenario. </w:t>
      </w:r>
      <w:r>
        <w:t xml:space="preserve">Tversky and Kahneman (1981; see also Kahneman and Tversky 1982) were the first to investigate how mental accounting can influence people’s decisions by modifying contextual factors that have no impact on the economic value of a transaction. In the “Jacket” scenario (Tversky and Kahneman 1981; Kahneman and Tversky 1982; Thaler 1999), consumers are buying a jacket and a Bluetooth speaker (a calculator in the original scenario) for $140. They are told that either the low price ($15) or the high price item ($125) is available at a $5 discount in another store. If consumers were to simply consider whether it is worth driving 20 minutes to save $5 they would reach the same decision regardless of the product to which the discount is applied. The same would be true if consumers were to compare their current wealth with the wealth resulting from having both products minus $140. Instead, they use the cost of the product as a reference price and prefer to drive 20 minutes when the discount is applied to the low-priced item. </w:t>
      </w:r>
      <w:r>
        <w:tab/>
      </w:r>
    </w:p>
    <w:p w:rsidR="00750EF6" w:rsidRDefault="002B2CD6">
      <w:pPr>
        <w:ind w:firstLine="720"/>
      </w:pPr>
      <w:r>
        <w:rPr>
          <w:i/>
          <w:iCs/>
        </w:rPr>
        <w:t>Sunk costs</w:t>
      </w:r>
      <w:r>
        <w:rPr>
          <w:rFonts w:ascii="Roboto" w:eastAsia="Roboto" w:hAnsi="Roboto" w:cs="Roboto"/>
          <w:i/>
          <w:iCs/>
          <w:color w:val="444746"/>
        </w:rPr>
        <w:t>—</w:t>
      </w:r>
      <w:r>
        <w:rPr>
          <w:i/>
          <w:iCs/>
        </w:rPr>
        <w:t xml:space="preserve">Play scenario. </w:t>
      </w:r>
      <w:r>
        <w:t xml:space="preserve">Mental accounting is also related to the impact of sunk costs on consumers’ spending decisions. When consumers have already opened a mental account for a specific purchase, they are unwilling to use additional resources from it, even </w:t>
      </w:r>
      <w:r>
        <w:lastRenderedPageBreak/>
        <w:t xml:space="preserve">though the previous expense might be unrecoverable. This creates paradoxical effects, as illustrated by the “Play” scenario (Tversky and Kahneman 1981; Kahneman and Tversky 1982, 1984; Thaler 1999). This scenario demonstrates that consumers are less likely to repurchase a ticket for a play after losing it than after losing an equivalent amount of cash. Buying the </w:t>
      </w:r>
      <w:proofErr w:type="gramStart"/>
      <w:r>
        <w:t>ticket</w:t>
      </w:r>
      <w:proofErr w:type="gramEnd"/>
      <w:r>
        <w:t xml:space="preserve"> a second time, when the account is already negative, feels aversive. Attending the show is seen by consumers as a transaction in which the ticket price is exchanged for the experience of seeing the play. Thus, buying the ticket twice increases the cost without enhancing the experience. </w:t>
      </w:r>
    </w:p>
    <w:p w:rsidR="00750EF6" w:rsidRDefault="002B2CD6">
      <w:pPr>
        <w:ind w:firstLine="720"/>
      </w:pPr>
      <w:r>
        <w:rPr>
          <w:i/>
          <w:iCs/>
        </w:rPr>
        <w:t>Local versus global representations</w:t>
      </w:r>
      <w:r>
        <w:rPr>
          <w:rFonts w:ascii="Roboto" w:eastAsia="Roboto" w:hAnsi="Roboto" w:cs="Roboto"/>
          <w:i/>
          <w:iCs/>
          <w:color w:val="444746"/>
        </w:rPr>
        <w:t>—</w:t>
      </w:r>
      <w:r>
        <w:rPr>
          <w:i/>
          <w:iCs/>
        </w:rPr>
        <w:t xml:space="preserve">Gym scenario. </w:t>
      </w:r>
      <w:r>
        <w:t xml:space="preserve">Decision frames demonstrate that the perceived value of goods is subjective and malleable and can be influenced by various factors. </w:t>
      </w:r>
      <w:proofErr w:type="spellStart"/>
      <w:r>
        <w:t>Shafir</w:t>
      </w:r>
      <w:proofErr w:type="spellEnd"/>
      <w:r>
        <w:t xml:space="preserve"> and Thaler (2006) analyzed how people perceive the value of items depending on their structure and suggested that some </w:t>
      </w:r>
      <w:proofErr w:type="spellStart"/>
      <w:r>
        <w:t>construals</w:t>
      </w:r>
      <w:proofErr w:type="spellEnd"/>
      <w:r>
        <w:t xml:space="preserve"> appear more natural in certain contexts than others. One such case is illustrated by the “Gym scenario”. Imagine a consumer who goes to the gym but then has to leave without working out. Mental accounting theory predicts that if someone pays per session, they will experience the missed workout as a loss, as they paid for a session they did not use. In contrast, someone who purchased a yearly membership may be upset over the missed workout, but they should not attach a specific monetary value to each individual session, thus making the financial loss less painful. </w:t>
      </w:r>
    </w:p>
    <w:p w:rsidR="00750EF6" w:rsidRDefault="002B2CD6">
      <w:pPr>
        <w:ind w:firstLine="720"/>
      </w:pPr>
      <w:r>
        <w:rPr>
          <w:i/>
          <w:iCs/>
        </w:rPr>
        <w:t>Purchases and bonuses</w:t>
      </w:r>
      <w:r>
        <w:rPr>
          <w:rFonts w:ascii="Roboto" w:eastAsia="Roboto" w:hAnsi="Roboto" w:cs="Roboto"/>
          <w:i/>
          <w:iCs/>
          <w:color w:val="444746"/>
        </w:rPr>
        <w:t>—</w:t>
      </w:r>
      <w:r>
        <w:rPr>
          <w:i/>
          <w:iCs/>
        </w:rPr>
        <w:t xml:space="preserve">Plane scenario. </w:t>
      </w:r>
      <w:r>
        <w:t xml:space="preserve">In the “Plane” scenario, </w:t>
      </w:r>
      <w:proofErr w:type="spellStart"/>
      <w:r>
        <w:t>Shafir</w:t>
      </w:r>
      <w:proofErr w:type="spellEnd"/>
      <w:r>
        <w:t xml:space="preserve"> and Thaler (2006) showed that when people exchange a coupon, they consider how it was acquired in the first place. The authors predicted that the recipient of an offered coupon for a flight upgrade may insist on paying for the coupon if the owner had originally paid for it but not if </w:t>
      </w:r>
      <w:r>
        <w:lastRenderedPageBreak/>
        <w:t xml:space="preserve">the owner obtained it for free. </w:t>
      </w:r>
      <w:proofErr w:type="spellStart"/>
      <w:r>
        <w:t>Shafir</w:t>
      </w:r>
      <w:proofErr w:type="spellEnd"/>
      <w:r>
        <w:t xml:space="preserve"> and Thaler (2006) predict that people are unlikely to charge a friend more than what they originally spent and will thus be more likely to give the coupon away as a gift without asking for any money if they obtained it for free. </w:t>
      </w:r>
    </w:p>
    <w:p w:rsidR="00750EF6" w:rsidRDefault="002B2CD6">
      <w:pPr>
        <w:ind w:firstLine="720"/>
      </w:pPr>
      <w:r>
        <w:t xml:space="preserve">Replicating these scenarios is important not only for their practical relevance, but also because they cover a set of core principles in consumer research such as the diminishing marginal sensitivity of gains and losses (Kahneman and Tversky 1979), transaction utility (Thaler 1985), or decision frames (Tversky and Kahneman 1981; Kahneman and Tversky 1982; Thaler 1999). As evidence of their centrality, some of these concepts have been covered extensively in the marketing and consumer research literature on mental accounting (e.g., transaction utility: 45 papers, 4,338 total citations; decision frames: 91 papers, 2,181 citations; source: Web of Science). </w:t>
      </w:r>
    </w:p>
    <w:p w:rsidR="00750EF6" w:rsidRDefault="002B2CD6">
      <w:pPr>
        <w:keepNext/>
        <w:shd w:val="clear" w:color="auto" w:fill="auto"/>
        <w:ind w:right="0"/>
        <w:jc w:val="center"/>
      </w:pPr>
      <w:r>
        <w:rPr>
          <w:b/>
          <w:bCs/>
        </w:rPr>
        <w:t>TABLE 1</w:t>
      </w:r>
    </w:p>
    <w:tbl>
      <w:tblPr>
        <w:tblStyle w:val="afa"/>
        <w:tblW w:w="939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062"/>
        <w:gridCol w:w="998"/>
        <w:gridCol w:w="1470"/>
        <w:gridCol w:w="1560"/>
        <w:gridCol w:w="720"/>
        <w:gridCol w:w="2580"/>
      </w:tblGrid>
      <w:tr w:rsidR="00750EF6">
        <w:trPr>
          <w:trHeight w:val="415"/>
        </w:trPr>
        <w:tc>
          <w:tcPr>
            <w:tcW w:w="9390" w:type="dxa"/>
            <w:gridSpan w:val="6"/>
            <w:tcBorders>
              <w:top w:val="nil"/>
              <w:left w:val="nil"/>
              <w:bottom w:val="nil"/>
              <w:right w:val="nil"/>
            </w:tcBorders>
            <w:tcMar>
              <w:top w:w="20" w:type="dxa"/>
              <w:left w:w="20" w:type="dxa"/>
              <w:bottom w:w="100" w:type="dxa"/>
              <w:right w:w="20" w:type="dxa"/>
            </w:tcMar>
            <w:vAlign w:val="center"/>
          </w:tcPr>
          <w:p w:rsidR="00750EF6" w:rsidRDefault="002B2CD6">
            <w:pPr>
              <w:ind w:firstLine="720"/>
              <w:jc w:val="center"/>
            </w:pPr>
            <w:r>
              <w:t>MENTAL ACCOUNTING EFFECT CATEGORIES, SCENARIOS, AND CONDITIONS INCLUDED IN THE STUDY</w:t>
            </w:r>
          </w:p>
        </w:tc>
      </w:tr>
      <w:tr w:rsidR="00750EF6">
        <w:trPr>
          <w:trHeight w:val="415"/>
        </w:trPr>
        <w:tc>
          <w:tcPr>
            <w:tcW w:w="9390" w:type="dxa"/>
            <w:gridSpan w:val="6"/>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center"/>
          </w:tcPr>
          <w:p w:rsidR="00750EF6" w:rsidRDefault="002B2CD6">
            <w:pPr>
              <w:spacing w:line="276" w:lineRule="auto"/>
            </w:pPr>
            <w:r>
              <w:rPr>
                <w:b/>
                <w:bCs/>
              </w:rPr>
              <w:t>Combined outcomes:</w:t>
            </w:r>
            <w:r>
              <w:t xml:space="preserve"> </w:t>
            </w:r>
            <w:proofErr w:type="spellStart"/>
            <w:r>
              <w:rPr>
                <w:i/>
                <w:iCs/>
              </w:rPr>
              <w:t>MrAB</w:t>
            </w:r>
            <w:proofErr w:type="spellEnd"/>
            <w:r>
              <w:t xml:space="preserve"> (Thaler 1985) - </w:t>
            </w:r>
            <w:r>
              <w:rPr>
                <w:b/>
                <w:bCs/>
              </w:rPr>
              <w:t>DV:</w:t>
            </w:r>
            <w:r>
              <w:t xml:space="preserve"> A/ B/ No difference</w:t>
            </w:r>
          </w:p>
        </w:tc>
      </w:tr>
      <w:tr w:rsidR="00750EF6">
        <w:trPr>
          <w:trHeight w:val="415"/>
        </w:trPr>
        <w:tc>
          <w:tcPr>
            <w:tcW w:w="2062" w:type="dxa"/>
            <w:tcBorders>
              <w:top w:val="nil"/>
              <w:left w:val="nil"/>
              <w:bottom w:val="nil"/>
              <w:right w:val="nil"/>
            </w:tcBorders>
            <w:shd w:val="clear" w:color="auto" w:fill="auto"/>
            <w:tcMar>
              <w:top w:w="20" w:type="dxa"/>
              <w:left w:w="20" w:type="dxa"/>
              <w:bottom w:w="100" w:type="dxa"/>
              <w:right w:w="20" w:type="dxa"/>
            </w:tcMar>
          </w:tcPr>
          <w:p w:rsidR="00750EF6" w:rsidRDefault="002B2CD6">
            <w:pPr>
              <w:spacing w:line="276" w:lineRule="auto"/>
            </w:pPr>
            <w:r>
              <w:rPr>
                <w:i/>
                <w:iCs/>
              </w:rPr>
              <w:t>MrAB1</w:t>
            </w:r>
          </w:p>
        </w:tc>
        <w:tc>
          <w:tcPr>
            <w:tcW w:w="2468" w:type="dxa"/>
            <w:gridSpan w:val="2"/>
            <w:tcBorders>
              <w:top w:val="nil"/>
              <w:left w:val="nil"/>
              <w:bottom w:val="nil"/>
              <w:right w:val="nil"/>
            </w:tcBorders>
            <w:shd w:val="clear" w:color="auto" w:fill="auto"/>
            <w:tcMar>
              <w:top w:w="20" w:type="dxa"/>
              <w:left w:w="20" w:type="dxa"/>
              <w:bottom w:w="100" w:type="dxa"/>
              <w:right w:w="20" w:type="dxa"/>
            </w:tcMar>
          </w:tcPr>
          <w:p w:rsidR="00750EF6" w:rsidRDefault="002B2CD6">
            <w:pPr>
              <w:spacing w:line="276" w:lineRule="auto"/>
            </w:pPr>
            <w:r>
              <w:rPr>
                <w:i/>
                <w:iCs/>
              </w:rPr>
              <w:t>MrAB2</w:t>
            </w:r>
          </w:p>
        </w:tc>
        <w:tc>
          <w:tcPr>
            <w:tcW w:w="2280" w:type="dxa"/>
            <w:gridSpan w:val="2"/>
            <w:tcBorders>
              <w:top w:val="nil"/>
              <w:left w:val="nil"/>
              <w:bottom w:val="nil"/>
              <w:right w:val="nil"/>
            </w:tcBorders>
            <w:shd w:val="clear" w:color="auto" w:fill="auto"/>
            <w:tcMar>
              <w:top w:w="20" w:type="dxa"/>
              <w:left w:w="20" w:type="dxa"/>
              <w:bottom w:w="100" w:type="dxa"/>
              <w:right w:w="20" w:type="dxa"/>
            </w:tcMar>
          </w:tcPr>
          <w:p w:rsidR="00750EF6" w:rsidRDefault="002B2CD6">
            <w:pPr>
              <w:spacing w:line="276" w:lineRule="auto"/>
            </w:pPr>
            <w:r>
              <w:rPr>
                <w:i/>
                <w:iCs/>
              </w:rPr>
              <w:t>MrAB3</w:t>
            </w:r>
          </w:p>
        </w:tc>
        <w:tc>
          <w:tcPr>
            <w:tcW w:w="2580" w:type="dxa"/>
            <w:tcBorders>
              <w:top w:val="nil"/>
              <w:left w:val="nil"/>
              <w:bottom w:val="nil"/>
              <w:right w:val="nil"/>
            </w:tcBorders>
            <w:shd w:val="clear" w:color="auto" w:fill="auto"/>
            <w:tcMar>
              <w:top w:w="20" w:type="dxa"/>
              <w:left w:w="20" w:type="dxa"/>
              <w:bottom w:w="100" w:type="dxa"/>
              <w:right w:w="20" w:type="dxa"/>
            </w:tcMar>
          </w:tcPr>
          <w:p w:rsidR="00750EF6" w:rsidRDefault="002B2CD6">
            <w:pPr>
              <w:spacing w:line="276" w:lineRule="auto"/>
            </w:pPr>
            <w:r>
              <w:rPr>
                <w:i/>
                <w:iCs/>
              </w:rPr>
              <w:t>MrAB4</w:t>
            </w:r>
          </w:p>
        </w:tc>
      </w:tr>
      <w:tr w:rsidR="00750EF6">
        <w:trPr>
          <w:trHeight w:val="2365"/>
        </w:trPr>
        <w:tc>
          <w:tcPr>
            <w:tcW w:w="2062"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t>Person A was given two tickets to the lottery. They won $50 with one ticket and $25 with the other ticket. Person B was given a ticket to one lottery. They won $75. Who is happier?</w:t>
            </w:r>
          </w:p>
        </w:tc>
        <w:tc>
          <w:tcPr>
            <w:tcW w:w="2468" w:type="dxa"/>
            <w:gridSpan w:val="2"/>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t>Person A received a fine and owed $100. The same day, they received a second fine and owed $50. Person B received a fine and owed $150. There were no other repercussions from this mistake. Who is more upset?</w:t>
            </w:r>
          </w:p>
        </w:tc>
        <w:tc>
          <w:tcPr>
            <w:tcW w:w="2280" w:type="dxa"/>
            <w:gridSpan w:val="2"/>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t xml:space="preserve">Person A bought a lottery ticket and won $100. Also, they damaged one door in their apartment in an accident and had to pay the landlord $80. Person B bought a lottery ticket and won </w:t>
            </w:r>
            <w:r>
              <w:lastRenderedPageBreak/>
              <w:t>$20. Who is happier?</w:t>
            </w:r>
          </w:p>
        </w:tc>
        <w:tc>
          <w:tcPr>
            <w:tcW w:w="2580" w:type="dxa"/>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lastRenderedPageBreak/>
              <w:t xml:space="preserve">Person A damaged their car in a parking lot. They had to spend $200 to repair the damage. The same day they damaged the car, they won $25 in a raffle. Person B damaged their car in a parking lot. They had to spend $175 to </w:t>
            </w:r>
            <w:r>
              <w:lastRenderedPageBreak/>
              <w:t xml:space="preserve">repair the damage. Who is more upset? </w:t>
            </w:r>
          </w:p>
        </w:tc>
      </w:tr>
      <w:tr w:rsidR="00750EF6">
        <w:trPr>
          <w:trHeight w:val="415"/>
        </w:trPr>
        <w:tc>
          <w:tcPr>
            <w:tcW w:w="9390" w:type="dxa"/>
            <w:gridSpan w:val="6"/>
            <w:tcBorders>
              <w:top w:val="nil"/>
              <w:left w:val="nil"/>
              <w:bottom w:val="nil"/>
              <w:right w:val="nil"/>
            </w:tcBorders>
            <w:shd w:val="clear" w:color="auto" w:fill="auto"/>
            <w:tcMar>
              <w:top w:w="20" w:type="dxa"/>
              <w:left w:w="20" w:type="dxa"/>
              <w:bottom w:w="100" w:type="dxa"/>
              <w:right w:w="20" w:type="dxa"/>
            </w:tcMar>
            <w:vAlign w:val="center"/>
          </w:tcPr>
          <w:p w:rsidR="00750EF6" w:rsidRDefault="002B2CD6">
            <w:pPr>
              <w:spacing w:line="276" w:lineRule="auto"/>
            </w:pPr>
            <w:r>
              <w:rPr>
                <w:b/>
                <w:bCs/>
              </w:rPr>
              <w:lastRenderedPageBreak/>
              <w:t xml:space="preserve">Transaction utility: </w:t>
            </w:r>
            <w:r>
              <w:rPr>
                <w:i/>
                <w:iCs/>
              </w:rPr>
              <w:t>Game</w:t>
            </w:r>
            <w:r>
              <w:t xml:space="preserve"> (Thaler 1985) - </w:t>
            </w:r>
            <w:r>
              <w:rPr>
                <w:b/>
                <w:bCs/>
              </w:rPr>
              <w:t xml:space="preserve">DV: </w:t>
            </w:r>
            <w:r>
              <w:t>Willingness to Accept</w:t>
            </w:r>
          </w:p>
        </w:tc>
      </w:tr>
      <w:tr w:rsidR="00750EF6">
        <w:trPr>
          <w:trHeight w:val="415"/>
        </w:trPr>
        <w:tc>
          <w:tcPr>
            <w:tcW w:w="3060" w:type="dxa"/>
            <w:gridSpan w:val="2"/>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rPr>
                <w:i/>
                <w:iCs/>
              </w:rPr>
              <w:t>Game1</w:t>
            </w:r>
          </w:p>
        </w:tc>
        <w:tc>
          <w:tcPr>
            <w:tcW w:w="3030" w:type="dxa"/>
            <w:gridSpan w:val="2"/>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ind w:firstLine="720"/>
            </w:pPr>
            <w:r>
              <w:rPr>
                <w:i/>
                <w:iCs/>
              </w:rPr>
              <w:t>Game2</w:t>
            </w:r>
          </w:p>
        </w:tc>
        <w:tc>
          <w:tcPr>
            <w:tcW w:w="3300" w:type="dxa"/>
            <w:gridSpan w:val="2"/>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ind w:firstLine="720"/>
            </w:pPr>
            <w:r>
              <w:rPr>
                <w:i/>
                <w:iCs/>
              </w:rPr>
              <w:t>Game3</w:t>
            </w:r>
          </w:p>
        </w:tc>
      </w:tr>
      <w:tr w:rsidR="00750EF6">
        <w:trPr>
          <w:trHeight w:val="4690"/>
        </w:trPr>
        <w:tc>
          <w:tcPr>
            <w:tcW w:w="3060" w:type="dxa"/>
            <w:gridSpan w:val="2"/>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t xml:space="preserve">You are going to a sold-out game of your favorite local sports team, and you have an extra ticket. The price marked on the ticket is $5, but this ticket has been offered to you by a friend for free. You want to get rid of the extra ticket, and you know the ticket’s face value price is $5. You find someone who wants the ticket. There is no law against charging more than the price marked on the ticket. </w:t>
            </w:r>
          </w:p>
          <w:p w:rsidR="00750EF6" w:rsidRDefault="002B2CD6">
            <w:pPr>
              <w:spacing w:line="276" w:lineRule="auto"/>
            </w:pPr>
            <w:r>
              <w:t>What price do you ask for selling the extra ticket if the person you sell it to is a friend/is a stranger? What price would you have asked for if you found out that the ticket’s face value price was $10 instead? If they are a friend/stranger?</w:t>
            </w:r>
          </w:p>
        </w:tc>
        <w:tc>
          <w:tcPr>
            <w:tcW w:w="3030" w:type="dxa"/>
            <w:gridSpan w:val="2"/>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t xml:space="preserve">You are going to a sold-out game of your favorite local sports team, and you have an extra ticket. The price marked on the ticket is $5, which is what you paid for each ticket. You want to get rid of the extra ticket, and you know the ticket’s face value price is $5. You find someone who wants the ticket. There is no law against charging more than the price marked on the ticket. </w:t>
            </w:r>
            <w:r>
              <w:br/>
              <w:t>What price do you ask for selling the extra ticket if the person you sell it to is a friend/stranger? What price would you have asked for if you found out that the ticket’s face value price was $10 instead? If they are a friend/stranger?</w:t>
            </w:r>
          </w:p>
        </w:tc>
        <w:tc>
          <w:tcPr>
            <w:tcW w:w="3300" w:type="dxa"/>
            <w:gridSpan w:val="2"/>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t>You are going to a sold-out game of your favorite local sports team, and you have an extra ticket. The ticket’s face value price is $5, but you paid $10 for each ticket when you bought them from another person. You want to get rid of the extra ticket and you know the ticket’s face value price is $5. You find someone who wants the ticket. There is no law against charging more than the price marked on the ticket.</w:t>
            </w:r>
          </w:p>
          <w:p w:rsidR="00750EF6" w:rsidRDefault="002B2CD6">
            <w:pPr>
              <w:spacing w:line="276" w:lineRule="auto"/>
            </w:pPr>
            <w:r>
              <w:t>What price do you ask for selling the extra ticket if the person you sell it to is a friend/stranger? What price would you have asked for if you found out that the ticket’s face value price was $10 instead? If they are a friend/stranger?</w:t>
            </w:r>
          </w:p>
        </w:tc>
      </w:tr>
      <w:tr w:rsidR="00750EF6">
        <w:trPr>
          <w:trHeight w:val="430"/>
        </w:trPr>
        <w:tc>
          <w:tcPr>
            <w:tcW w:w="9390" w:type="dxa"/>
            <w:gridSpan w:val="6"/>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center"/>
          </w:tcPr>
          <w:p w:rsidR="00750EF6" w:rsidRDefault="002B2CD6">
            <w:pPr>
              <w:spacing w:line="276" w:lineRule="auto"/>
            </w:pPr>
            <w:r>
              <w:rPr>
                <w:b/>
                <w:bCs/>
              </w:rPr>
              <w:t>Transaction utility:</w:t>
            </w:r>
            <w:r>
              <w:rPr>
                <w:b/>
                <w:bCs/>
                <w:i/>
                <w:iCs/>
              </w:rPr>
              <w:t xml:space="preserve"> </w:t>
            </w:r>
            <w:r>
              <w:rPr>
                <w:i/>
                <w:iCs/>
              </w:rPr>
              <w:t>Drink</w:t>
            </w:r>
            <w:r>
              <w:t xml:space="preserve"> (Thaler 1985) - </w:t>
            </w:r>
            <w:r>
              <w:rPr>
                <w:b/>
                <w:bCs/>
              </w:rPr>
              <w:t>DV:</w:t>
            </w:r>
            <w:r>
              <w:t xml:space="preserve"> Willingness to Pay</w:t>
            </w:r>
          </w:p>
        </w:tc>
      </w:tr>
      <w:tr w:rsidR="00750EF6">
        <w:trPr>
          <w:trHeight w:val="415"/>
        </w:trPr>
        <w:tc>
          <w:tcPr>
            <w:tcW w:w="4530" w:type="dxa"/>
            <w:gridSpan w:val="3"/>
            <w:tcBorders>
              <w:top w:val="nil"/>
              <w:left w:val="nil"/>
              <w:bottom w:val="nil"/>
              <w:right w:val="nil"/>
            </w:tcBorders>
            <w:shd w:val="clear" w:color="auto" w:fill="auto"/>
            <w:tcMar>
              <w:top w:w="20" w:type="dxa"/>
              <w:left w:w="20" w:type="dxa"/>
              <w:bottom w:w="100" w:type="dxa"/>
              <w:right w:w="20" w:type="dxa"/>
            </w:tcMar>
          </w:tcPr>
          <w:p w:rsidR="00750EF6" w:rsidRDefault="002B2CD6">
            <w:pPr>
              <w:spacing w:line="276" w:lineRule="auto"/>
            </w:pPr>
            <w:r>
              <w:rPr>
                <w:i/>
                <w:iCs/>
              </w:rPr>
              <w:t>Drink1</w:t>
            </w:r>
          </w:p>
        </w:tc>
        <w:tc>
          <w:tcPr>
            <w:tcW w:w="4860" w:type="dxa"/>
            <w:gridSpan w:val="3"/>
            <w:tcBorders>
              <w:top w:val="nil"/>
              <w:left w:val="nil"/>
              <w:bottom w:val="nil"/>
              <w:right w:val="nil"/>
            </w:tcBorders>
            <w:shd w:val="clear" w:color="auto" w:fill="auto"/>
            <w:tcMar>
              <w:top w:w="20" w:type="dxa"/>
              <w:left w:w="20" w:type="dxa"/>
              <w:bottom w:w="100" w:type="dxa"/>
              <w:right w:w="20" w:type="dxa"/>
            </w:tcMar>
          </w:tcPr>
          <w:p w:rsidR="00750EF6" w:rsidRDefault="002B2CD6">
            <w:pPr>
              <w:spacing w:line="276" w:lineRule="auto"/>
            </w:pPr>
            <w:r>
              <w:rPr>
                <w:i/>
                <w:iCs/>
              </w:rPr>
              <w:t>Drink2</w:t>
            </w:r>
          </w:p>
        </w:tc>
      </w:tr>
      <w:tr w:rsidR="00750EF6">
        <w:trPr>
          <w:trHeight w:val="2095"/>
        </w:trPr>
        <w:tc>
          <w:tcPr>
            <w:tcW w:w="4530" w:type="dxa"/>
            <w:gridSpan w:val="3"/>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lastRenderedPageBreak/>
              <w:t xml:space="preserve">You are on the beach on a hot day, and you would really like a cold drink. A friend offers to go buy the drink from a fancy resort hotel. They ask how much you are willing to pay for the drink: they will only buy it if it costs as much or less than the price you state. You trust your friend, and there is no possibility of bargaining with the bartender. </w:t>
            </w:r>
            <w:r>
              <w:br/>
              <w:t xml:space="preserve">What price do you tell them? </w:t>
            </w:r>
          </w:p>
        </w:tc>
        <w:tc>
          <w:tcPr>
            <w:tcW w:w="4860" w:type="dxa"/>
            <w:gridSpan w:val="3"/>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t xml:space="preserve">You are on the beach on a hot day and you would really like a cold drink. A friend offers to go buy the drink from a small, run-down grocery store. They ask how much you are willing to pay for the drink: they will only buy it if it costs as much or less than the price you state. You trust your friend, and there is no possibility of bargaining with the store owner. </w:t>
            </w:r>
            <w:r>
              <w:br/>
              <w:t xml:space="preserve">What price do you tell them? </w:t>
            </w:r>
          </w:p>
        </w:tc>
      </w:tr>
      <w:tr w:rsidR="00750EF6">
        <w:trPr>
          <w:trHeight w:val="430"/>
        </w:trPr>
        <w:tc>
          <w:tcPr>
            <w:tcW w:w="9390" w:type="dxa"/>
            <w:gridSpan w:val="6"/>
            <w:tcBorders>
              <w:top w:val="nil"/>
              <w:left w:val="nil"/>
              <w:bottom w:val="nil"/>
              <w:right w:val="nil"/>
            </w:tcBorders>
            <w:shd w:val="clear" w:color="auto" w:fill="auto"/>
            <w:tcMar>
              <w:top w:w="20" w:type="dxa"/>
              <w:left w:w="20" w:type="dxa"/>
              <w:bottom w:w="100" w:type="dxa"/>
              <w:right w:w="20" w:type="dxa"/>
            </w:tcMar>
            <w:vAlign w:val="center"/>
          </w:tcPr>
          <w:p w:rsidR="00750EF6" w:rsidRDefault="002B2CD6">
            <w:pPr>
              <w:spacing w:line="276" w:lineRule="auto"/>
            </w:pPr>
            <w:r>
              <w:rPr>
                <w:b/>
                <w:bCs/>
              </w:rPr>
              <w:t>Mental accounting as outcomes framing:</w:t>
            </w:r>
            <w:r>
              <w:t xml:space="preserve"> </w:t>
            </w:r>
            <w:r>
              <w:rPr>
                <w:i/>
                <w:iCs/>
              </w:rPr>
              <w:t>Jacket</w:t>
            </w:r>
            <w:r>
              <w:t xml:space="preserve"> (Kahneman and Tversky 1982; Tversky and Kahneman 1981) - </w:t>
            </w:r>
            <w:r>
              <w:rPr>
                <w:b/>
                <w:bCs/>
              </w:rPr>
              <w:t xml:space="preserve">DV: </w:t>
            </w:r>
            <w:r>
              <w:t>Yes/ No</w:t>
            </w:r>
          </w:p>
        </w:tc>
      </w:tr>
      <w:tr w:rsidR="00750EF6">
        <w:trPr>
          <w:trHeight w:val="415"/>
        </w:trPr>
        <w:tc>
          <w:tcPr>
            <w:tcW w:w="4530" w:type="dxa"/>
            <w:gridSpan w:val="3"/>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rPr>
                <w:i/>
                <w:iCs/>
              </w:rPr>
              <w:t>Jacket1</w:t>
            </w:r>
          </w:p>
        </w:tc>
        <w:tc>
          <w:tcPr>
            <w:tcW w:w="4860" w:type="dxa"/>
            <w:gridSpan w:val="3"/>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rPr>
                <w:i/>
                <w:iCs/>
              </w:rPr>
              <w:t>Jacket2</w:t>
            </w:r>
          </w:p>
        </w:tc>
      </w:tr>
      <w:tr w:rsidR="00750EF6">
        <w:trPr>
          <w:trHeight w:val="1780"/>
        </w:trPr>
        <w:tc>
          <w:tcPr>
            <w:tcW w:w="4530" w:type="dxa"/>
            <w:gridSpan w:val="3"/>
            <w:tcBorders>
              <w:top w:val="nil"/>
              <w:left w:val="nil"/>
              <w:bottom w:val="nil"/>
              <w:right w:val="nil"/>
            </w:tcBorders>
            <w:shd w:val="clear" w:color="auto" w:fill="auto"/>
            <w:tcMar>
              <w:top w:w="20" w:type="dxa"/>
              <w:left w:w="20" w:type="dxa"/>
              <w:bottom w:w="100" w:type="dxa"/>
              <w:right w:w="20" w:type="dxa"/>
            </w:tcMar>
          </w:tcPr>
          <w:p w:rsidR="00750EF6" w:rsidRDefault="002B2CD6">
            <w:pPr>
              <w:spacing w:line="276" w:lineRule="auto"/>
            </w:pPr>
            <w:r>
              <w:t>You are about to purchase a jacket for $125 and a Bluetooth speaker for $15. The salesman informs you that the speaker you wish to buy is on sale for $10 at the other branch store, located 20 minutes away.</w:t>
            </w:r>
          </w:p>
          <w:p w:rsidR="00750EF6" w:rsidRDefault="002B2CD6">
            <w:pPr>
              <w:spacing w:line="276" w:lineRule="auto"/>
            </w:pPr>
            <w:r>
              <w:t>Would you make the trip to the other store?</w:t>
            </w:r>
          </w:p>
        </w:tc>
        <w:tc>
          <w:tcPr>
            <w:tcW w:w="4860" w:type="dxa"/>
            <w:gridSpan w:val="3"/>
            <w:tcBorders>
              <w:top w:val="nil"/>
              <w:left w:val="nil"/>
              <w:bottom w:val="nil"/>
              <w:right w:val="nil"/>
            </w:tcBorders>
            <w:shd w:val="clear" w:color="auto" w:fill="auto"/>
            <w:tcMar>
              <w:top w:w="20" w:type="dxa"/>
              <w:left w:w="20" w:type="dxa"/>
              <w:bottom w:w="100" w:type="dxa"/>
              <w:right w:w="20" w:type="dxa"/>
            </w:tcMar>
          </w:tcPr>
          <w:p w:rsidR="00750EF6" w:rsidRDefault="002B2CD6">
            <w:pPr>
              <w:spacing w:line="276" w:lineRule="auto"/>
            </w:pPr>
            <w:r>
              <w:t xml:space="preserve">You are about to purchase a jacket for $15 and a Bluetooth speaker for $125. The salesman informs you that the speaker you wish to buy is on sale for $120 at the other branch store, located 20 minutes away. </w:t>
            </w:r>
          </w:p>
          <w:p w:rsidR="00750EF6" w:rsidRDefault="002B2CD6">
            <w:pPr>
              <w:spacing w:line="276" w:lineRule="auto"/>
            </w:pPr>
            <w:r>
              <w:t>Would you make the trip to the other store?</w:t>
            </w:r>
          </w:p>
        </w:tc>
      </w:tr>
      <w:tr w:rsidR="00750EF6">
        <w:trPr>
          <w:trHeight w:val="415"/>
        </w:trPr>
        <w:tc>
          <w:tcPr>
            <w:tcW w:w="9390" w:type="dxa"/>
            <w:gridSpan w:val="6"/>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center"/>
          </w:tcPr>
          <w:p w:rsidR="00750EF6" w:rsidRDefault="002B2CD6">
            <w:pPr>
              <w:spacing w:line="276" w:lineRule="auto"/>
            </w:pPr>
            <w:r>
              <w:rPr>
                <w:b/>
                <w:bCs/>
              </w:rPr>
              <w:t>Sunk cost and mental accounts with a negative balance:</w:t>
            </w:r>
            <w:r>
              <w:t xml:space="preserve"> </w:t>
            </w:r>
            <w:r>
              <w:rPr>
                <w:i/>
                <w:iCs/>
              </w:rPr>
              <w:t>Play</w:t>
            </w:r>
            <w:r>
              <w:t xml:space="preserve"> (Tversky and Kahneman 1981) - </w:t>
            </w:r>
            <w:r>
              <w:rPr>
                <w:b/>
                <w:bCs/>
              </w:rPr>
              <w:t xml:space="preserve">DV: </w:t>
            </w:r>
            <w:r>
              <w:t>Yes/ No</w:t>
            </w:r>
          </w:p>
        </w:tc>
      </w:tr>
      <w:tr w:rsidR="00750EF6">
        <w:trPr>
          <w:trHeight w:val="415"/>
        </w:trPr>
        <w:tc>
          <w:tcPr>
            <w:tcW w:w="4530" w:type="dxa"/>
            <w:gridSpan w:val="3"/>
            <w:tcBorders>
              <w:top w:val="nil"/>
              <w:left w:val="nil"/>
              <w:bottom w:val="nil"/>
              <w:right w:val="nil"/>
            </w:tcBorders>
            <w:shd w:val="clear" w:color="auto" w:fill="auto"/>
            <w:tcMar>
              <w:top w:w="20" w:type="dxa"/>
              <w:left w:w="20" w:type="dxa"/>
              <w:bottom w:w="100" w:type="dxa"/>
              <w:right w:w="20" w:type="dxa"/>
            </w:tcMar>
          </w:tcPr>
          <w:p w:rsidR="00750EF6" w:rsidRDefault="002B2CD6">
            <w:pPr>
              <w:spacing w:line="276" w:lineRule="auto"/>
            </w:pPr>
            <w:r>
              <w:rPr>
                <w:i/>
                <w:iCs/>
              </w:rPr>
              <w:t>Play1</w:t>
            </w:r>
          </w:p>
        </w:tc>
        <w:tc>
          <w:tcPr>
            <w:tcW w:w="4860" w:type="dxa"/>
            <w:gridSpan w:val="3"/>
            <w:tcBorders>
              <w:top w:val="nil"/>
              <w:left w:val="nil"/>
              <w:bottom w:val="nil"/>
              <w:right w:val="nil"/>
            </w:tcBorders>
            <w:shd w:val="clear" w:color="auto" w:fill="auto"/>
            <w:tcMar>
              <w:top w:w="20" w:type="dxa"/>
              <w:left w:w="20" w:type="dxa"/>
              <w:bottom w:w="100" w:type="dxa"/>
              <w:right w:w="20" w:type="dxa"/>
            </w:tcMar>
          </w:tcPr>
          <w:p w:rsidR="00750EF6" w:rsidRDefault="002B2CD6">
            <w:pPr>
              <w:spacing w:line="276" w:lineRule="auto"/>
            </w:pPr>
            <w:r>
              <w:rPr>
                <w:i/>
                <w:iCs/>
              </w:rPr>
              <w:t>Play2</w:t>
            </w:r>
          </w:p>
        </w:tc>
      </w:tr>
      <w:tr w:rsidR="00750EF6">
        <w:trPr>
          <w:trHeight w:val="1510"/>
        </w:trPr>
        <w:tc>
          <w:tcPr>
            <w:tcW w:w="4530" w:type="dxa"/>
            <w:gridSpan w:val="3"/>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t>Imagine that you are on your way to a music event with a ticket for which you have paid $40. On entering the venue, you discover that you have lost the ticket.</w:t>
            </w:r>
          </w:p>
          <w:p w:rsidR="00750EF6" w:rsidRDefault="002B2CD6">
            <w:pPr>
              <w:spacing w:line="276" w:lineRule="auto"/>
            </w:pPr>
            <w:r>
              <w:t xml:space="preserve">Would you pay $40 for another ticket? </w:t>
            </w:r>
          </w:p>
        </w:tc>
        <w:tc>
          <w:tcPr>
            <w:tcW w:w="4860" w:type="dxa"/>
            <w:gridSpan w:val="3"/>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t xml:space="preserve">Imagine that you are on your way to a music event, and intend to buy a ticket worth $40. On entering the venue, you realize that you have lost $40 in cash. </w:t>
            </w:r>
            <w:r>
              <w:br/>
              <w:t xml:space="preserve">Would you still pay $40 for a ticket? </w:t>
            </w:r>
          </w:p>
        </w:tc>
      </w:tr>
      <w:tr w:rsidR="00750EF6">
        <w:trPr>
          <w:trHeight w:val="430"/>
        </w:trPr>
        <w:tc>
          <w:tcPr>
            <w:tcW w:w="9390" w:type="dxa"/>
            <w:gridSpan w:val="6"/>
            <w:tcBorders>
              <w:top w:val="single" w:sz="4" w:space="0" w:color="000000"/>
              <w:left w:val="nil"/>
              <w:bottom w:val="single" w:sz="4" w:space="0" w:color="000000"/>
              <w:right w:val="nil"/>
            </w:tcBorders>
            <w:shd w:val="clear" w:color="auto" w:fill="auto"/>
            <w:tcMar>
              <w:top w:w="20" w:type="dxa"/>
              <w:left w:w="20" w:type="dxa"/>
              <w:bottom w:w="100" w:type="dxa"/>
              <w:right w:w="20" w:type="dxa"/>
            </w:tcMar>
            <w:vAlign w:val="center"/>
          </w:tcPr>
          <w:p w:rsidR="00750EF6" w:rsidRDefault="002B2CD6">
            <w:pPr>
              <w:spacing w:line="276" w:lineRule="auto"/>
            </w:pPr>
            <w:r>
              <w:rPr>
                <w:b/>
                <w:bCs/>
              </w:rPr>
              <w:t>Local versus global representations:</w:t>
            </w:r>
            <w:r>
              <w:t xml:space="preserve"> </w:t>
            </w:r>
            <w:r>
              <w:rPr>
                <w:i/>
                <w:iCs/>
              </w:rPr>
              <w:t>Gym</w:t>
            </w:r>
            <w:r>
              <w:t xml:space="preserve"> (</w:t>
            </w:r>
            <w:proofErr w:type="spellStart"/>
            <w:r>
              <w:t>Shafir</w:t>
            </w:r>
            <w:proofErr w:type="spellEnd"/>
            <w:r>
              <w:t xml:space="preserve"> and Thaler 2006)</w:t>
            </w:r>
          </w:p>
        </w:tc>
      </w:tr>
      <w:tr w:rsidR="00750EF6">
        <w:trPr>
          <w:trHeight w:val="775"/>
        </w:trPr>
        <w:tc>
          <w:tcPr>
            <w:tcW w:w="9390" w:type="dxa"/>
            <w:gridSpan w:val="6"/>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rPr>
                <w:b/>
                <w:bCs/>
              </w:rPr>
              <w:t xml:space="preserve">DVs: </w:t>
            </w:r>
            <w:r>
              <w:t>“I feel like I wasted $20”, “I feel like I wasted nothing, since my visit had already been paid for”, “I feel like I wasted something, but no specific amount or measure comes to mind” (Scale from 1 = “Strongly agree” to 5 = “Strongly disagree”)</w:t>
            </w:r>
          </w:p>
        </w:tc>
      </w:tr>
      <w:tr w:rsidR="00750EF6">
        <w:trPr>
          <w:trHeight w:val="415"/>
        </w:trPr>
        <w:tc>
          <w:tcPr>
            <w:tcW w:w="4530" w:type="dxa"/>
            <w:gridSpan w:val="3"/>
            <w:tcBorders>
              <w:top w:val="nil"/>
              <w:left w:val="nil"/>
              <w:bottom w:val="nil"/>
              <w:right w:val="nil"/>
            </w:tcBorders>
            <w:shd w:val="clear" w:color="auto" w:fill="auto"/>
            <w:tcMar>
              <w:top w:w="20" w:type="dxa"/>
              <w:left w:w="20" w:type="dxa"/>
              <w:bottom w:w="100" w:type="dxa"/>
              <w:right w:w="20" w:type="dxa"/>
            </w:tcMar>
          </w:tcPr>
          <w:p w:rsidR="00750EF6" w:rsidRDefault="002B2CD6">
            <w:pPr>
              <w:spacing w:line="276" w:lineRule="auto"/>
            </w:pPr>
            <w:r>
              <w:rPr>
                <w:i/>
                <w:iCs/>
              </w:rPr>
              <w:t>Gym1</w:t>
            </w:r>
          </w:p>
        </w:tc>
        <w:tc>
          <w:tcPr>
            <w:tcW w:w="4860" w:type="dxa"/>
            <w:gridSpan w:val="3"/>
            <w:tcBorders>
              <w:top w:val="nil"/>
              <w:left w:val="nil"/>
              <w:bottom w:val="nil"/>
              <w:right w:val="nil"/>
            </w:tcBorders>
            <w:shd w:val="clear" w:color="auto" w:fill="auto"/>
            <w:tcMar>
              <w:top w:w="20" w:type="dxa"/>
              <w:left w:w="20" w:type="dxa"/>
              <w:bottom w:w="100" w:type="dxa"/>
              <w:right w:w="20" w:type="dxa"/>
            </w:tcMar>
          </w:tcPr>
          <w:p w:rsidR="00750EF6" w:rsidRDefault="002B2CD6">
            <w:pPr>
              <w:spacing w:line="276" w:lineRule="auto"/>
            </w:pPr>
            <w:r>
              <w:rPr>
                <w:i/>
                <w:iCs/>
              </w:rPr>
              <w:t>Gym2</w:t>
            </w:r>
          </w:p>
        </w:tc>
      </w:tr>
      <w:tr w:rsidR="00750EF6">
        <w:trPr>
          <w:trHeight w:val="540"/>
        </w:trPr>
        <w:tc>
          <w:tcPr>
            <w:tcW w:w="4530" w:type="dxa"/>
            <w:gridSpan w:val="3"/>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t xml:space="preserve">Imagine that you go to the gym on a regular basis. Due to your busy working </w:t>
            </w:r>
            <w:r>
              <w:lastRenderedPageBreak/>
              <w:t xml:space="preserve">schedule, you can only go on Monday nights. The membership to the gym allows you to pay $20 (non-refundable) per session. One Monday, just after you have paid and changed into your gym clothes, you receive a phone call that requires you to leave and forgo your exercise that evening. </w:t>
            </w:r>
            <w:r>
              <w:br/>
              <w:t xml:space="preserve">How well does each of the following statements capture your feelings about the cost of the missed workout? </w:t>
            </w:r>
          </w:p>
        </w:tc>
        <w:tc>
          <w:tcPr>
            <w:tcW w:w="4860" w:type="dxa"/>
            <w:gridSpan w:val="3"/>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lastRenderedPageBreak/>
              <w:t xml:space="preserve">Imagine that you go to the gym on a regular basis. Due to your busy working schedule, </w:t>
            </w:r>
            <w:r>
              <w:lastRenderedPageBreak/>
              <w:t xml:space="preserve">you can only go on Monday nights. The membership costs you $1000 a year (i.e., roughly $20 per visit). One Monday, just after you have paid and changed into your gym clothes, you receive a phone call that requires you to leave and forgo your exercise that evening. </w:t>
            </w:r>
            <w:r>
              <w:br/>
              <w:t xml:space="preserve">How well does each of the following statements capture your feelings about the cost of the missed workout? </w:t>
            </w:r>
          </w:p>
        </w:tc>
      </w:tr>
      <w:tr w:rsidR="00750EF6">
        <w:trPr>
          <w:trHeight w:val="415"/>
        </w:trPr>
        <w:tc>
          <w:tcPr>
            <w:tcW w:w="9390" w:type="dxa"/>
            <w:gridSpan w:val="6"/>
            <w:tcBorders>
              <w:top w:val="nil"/>
              <w:left w:val="nil"/>
              <w:bottom w:val="nil"/>
              <w:right w:val="nil"/>
            </w:tcBorders>
            <w:shd w:val="clear" w:color="auto" w:fill="auto"/>
            <w:tcMar>
              <w:top w:w="20" w:type="dxa"/>
              <w:left w:w="20" w:type="dxa"/>
              <w:bottom w:w="100" w:type="dxa"/>
              <w:right w:w="20" w:type="dxa"/>
            </w:tcMar>
            <w:vAlign w:val="center"/>
          </w:tcPr>
          <w:p w:rsidR="00750EF6" w:rsidRDefault="002B2CD6">
            <w:pPr>
              <w:spacing w:line="276" w:lineRule="auto"/>
            </w:pPr>
            <w:r>
              <w:rPr>
                <w:b/>
                <w:bCs/>
              </w:rPr>
              <w:lastRenderedPageBreak/>
              <w:t xml:space="preserve">Historical accounting of purchases and bonuses: </w:t>
            </w:r>
            <w:r>
              <w:rPr>
                <w:i/>
                <w:iCs/>
              </w:rPr>
              <w:t>Plane</w:t>
            </w:r>
            <w:r>
              <w:t xml:space="preserve"> (</w:t>
            </w:r>
            <w:proofErr w:type="spellStart"/>
            <w:r>
              <w:t>Shafir</w:t>
            </w:r>
            <w:proofErr w:type="spellEnd"/>
            <w:r>
              <w:t xml:space="preserve"> and Thaler 2006)</w:t>
            </w:r>
          </w:p>
        </w:tc>
      </w:tr>
      <w:tr w:rsidR="00750EF6">
        <w:trPr>
          <w:trHeight w:val="745"/>
        </w:trPr>
        <w:tc>
          <w:tcPr>
            <w:tcW w:w="9390" w:type="dxa"/>
            <w:gridSpan w:val="6"/>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rPr>
                <w:b/>
                <w:bCs/>
              </w:rPr>
              <w:t xml:space="preserve">DV: </w:t>
            </w:r>
            <w:r>
              <w:t>What do you think is the most appropriate thing to do? “Pay your friend $35 for the coupon”/ “Consider it a gift and do not pay for the coupon”/ “Pay some, but not the full amount for the coupon, for example, half the price.”</w:t>
            </w:r>
          </w:p>
        </w:tc>
      </w:tr>
      <w:tr w:rsidR="00750EF6">
        <w:trPr>
          <w:trHeight w:val="415"/>
        </w:trPr>
        <w:tc>
          <w:tcPr>
            <w:tcW w:w="4530" w:type="dxa"/>
            <w:gridSpan w:val="3"/>
            <w:tcBorders>
              <w:top w:val="nil"/>
              <w:left w:val="nil"/>
              <w:bottom w:val="nil"/>
              <w:right w:val="nil"/>
            </w:tcBorders>
            <w:shd w:val="clear" w:color="auto" w:fill="auto"/>
            <w:tcMar>
              <w:top w:w="20" w:type="dxa"/>
              <w:left w:w="20" w:type="dxa"/>
              <w:bottom w:w="100" w:type="dxa"/>
              <w:right w:w="20" w:type="dxa"/>
            </w:tcMar>
          </w:tcPr>
          <w:p w:rsidR="00750EF6" w:rsidRDefault="002B2CD6">
            <w:pPr>
              <w:spacing w:line="276" w:lineRule="auto"/>
            </w:pPr>
            <w:r>
              <w:rPr>
                <w:i/>
                <w:iCs/>
              </w:rPr>
              <w:t>Plane1</w:t>
            </w:r>
          </w:p>
        </w:tc>
        <w:tc>
          <w:tcPr>
            <w:tcW w:w="4860" w:type="dxa"/>
            <w:gridSpan w:val="3"/>
            <w:tcBorders>
              <w:top w:val="nil"/>
              <w:left w:val="nil"/>
              <w:bottom w:val="nil"/>
              <w:right w:val="nil"/>
            </w:tcBorders>
            <w:shd w:val="clear" w:color="auto" w:fill="auto"/>
            <w:tcMar>
              <w:top w:w="20" w:type="dxa"/>
              <w:left w:w="20" w:type="dxa"/>
              <w:bottom w:w="100" w:type="dxa"/>
              <w:right w:w="20" w:type="dxa"/>
            </w:tcMar>
          </w:tcPr>
          <w:p w:rsidR="00750EF6" w:rsidRDefault="002B2CD6">
            <w:pPr>
              <w:spacing w:line="276" w:lineRule="auto"/>
            </w:pPr>
            <w:r>
              <w:rPr>
                <w:i/>
                <w:iCs/>
              </w:rPr>
              <w:t>Plane2</w:t>
            </w:r>
          </w:p>
        </w:tc>
      </w:tr>
      <w:tr w:rsidR="00750EF6">
        <w:trPr>
          <w:trHeight w:val="2410"/>
        </w:trPr>
        <w:tc>
          <w:tcPr>
            <w:tcW w:w="4530" w:type="dxa"/>
            <w:gridSpan w:val="3"/>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t>You are flying with a friend who has upgraded their ticket to business class and has two coupons, each worth $35, which can be used to upgrade your ticket from economy to business class. They purchased one coupon for the standard price of $35 and received the other one for free. Just one coupon is required to upgrade your class on the current flight, and your friend offers you the coupon that they purchased so that you can upgrade as well.</w:t>
            </w:r>
          </w:p>
        </w:tc>
        <w:tc>
          <w:tcPr>
            <w:tcW w:w="4860" w:type="dxa"/>
            <w:gridSpan w:val="3"/>
            <w:tcBorders>
              <w:top w:val="single" w:sz="4" w:space="0" w:color="000000"/>
              <w:left w:val="nil"/>
              <w:bottom w:val="single" w:sz="4" w:space="0" w:color="000000"/>
              <w:right w:val="nil"/>
            </w:tcBorders>
            <w:shd w:val="clear" w:color="auto" w:fill="auto"/>
            <w:tcMar>
              <w:top w:w="20" w:type="dxa"/>
              <w:left w:w="20" w:type="dxa"/>
              <w:bottom w:w="100" w:type="dxa"/>
              <w:right w:w="20" w:type="dxa"/>
            </w:tcMar>
          </w:tcPr>
          <w:p w:rsidR="00750EF6" w:rsidRDefault="002B2CD6">
            <w:pPr>
              <w:spacing w:line="276" w:lineRule="auto"/>
            </w:pPr>
            <w:r>
              <w:t xml:space="preserve">You are flying with a friend who has upgraded their ticket to business class and has two coupons, each worth $35, which could be used to upgrade your ticket from economy to business class. They purchased one coupon for the standard price of $35 and received the other one for free. Just one coupon is required to upgrade your class on the current flight and your friend offers you the coupon that they got for free so that you can upgrade your ticket as well. </w:t>
            </w:r>
          </w:p>
        </w:tc>
      </w:tr>
    </w:tbl>
    <w:p w:rsidR="00750EF6" w:rsidRDefault="00750EF6"/>
    <w:p w:rsidR="00750EF6" w:rsidRDefault="002B2CD6">
      <w:pPr>
        <w:ind w:firstLine="720"/>
      </w:pPr>
      <w:r>
        <w:t xml:space="preserve">Importantly, the scenarios were chosen to represent </w:t>
      </w:r>
      <w:proofErr w:type="gramStart"/>
      <w:r>
        <w:t>an</w:t>
      </w:r>
      <w:proofErr w:type="gramEnd"/>
      <w:r>
        <w:t xml:space="preserve"> heterogeneous set of conditions including different methods to measure consumers' preferences. In some cases, participants were asked to set a price (willingness to pay or to accept), in others they evaluated fixed prices (e.g., would you buy a product for $X?) or made a choice (e.g., whether to drive to a second store or not). We deemed it important to show that mental </w:t>
      </w:r>
      <w:r>
        <w:lastRenderedPageBreak/>
        <w:t xml:space="preserve">accounting can be replicated in many different countries across a set of different preference elicitation measures. This is especially relevant considering the work on procedural invariance (Tversky, </w:t>
      </w:r>
      <w:proofErr w:type="spellStart"/>
      <w:r>
        <w:t>Slovic</w:t>
      </w:r>
      <w:proofErr w:type="spellEnd"/>
      <w:r>
        <w:t xml:space="preserve"> and Kahneman 1990). It is possible that some procedures (e.g., willingness to pay or choice between fixed prices) have a different impact on decisions in cultures other than those in which mental accounting has been originally studied. Similarly, the scenarios included interactions with other people (e.g., a friend offering to buy a beer, exchanging a coupon with a friend or selling a ticket to a friend versus a stranger) as well as individual decisions (e.g., buying the jacket and </w:t>
      </w:r>
      <w:proofErr w:type="spellStart"/>
      <w:r>
        <w:t>bluetooth</w:t>
      </w:r>
      <w:proofErr w:type="spellEnd"/>
      <w:r>
        <w:t xml:space="preserve"> speaker for oneself). Finally, the scenarios covered both situations in which participants were asked to assess outcomes and events happening to fictional characters (e.g., is Mr. A or Mr. B happier?) versus first person decisions (e.g., setting the price for a drink or deciding whether to drive to a second store for a discount). We return to these distinctions later when examining heterogeneity across scenarios.</w:t>
      </w:r>
    </w:p>
    <w:p w:rsidR="00750EF6" w:rsidRDefault="00750EF6">
      <w:pPr>
        <w:rPr>
          <w:b/>
          <w:bCs/>
        </w:rPr>
      </w:pPr>
    </w:p>
    <w:p w:rsidR="00750EF6" w:rsidRDefault="002B2CD6">
      <w:pPr>
        <w:rPr>
          <w:b/>
          <w:bCs/>
        </w:rPr>
      </w:pPr>
      <w:bookmarkStart w:id="6" w:name="_heading=h.r3gydblq93hg" w:colFirst="0" w:colLast="0"/>
      <w:bookmarkEnd w:id="6"/>
      <w:r>
        <w:rPr>
          <w:b/>
          <w:bCs/>
        </w:rPr>
        <w:t>Major Findings and Contributions</w:t>
      </w:r>
    </w:p>
    <w:p w:rsidR="00750EF6" w:rsidRDefault="00750EF6"/>
    <w:p w:rsidR="00750EF6" w:rsidRDefault="002B2CD6">
      <w:pPr>
        <w:ind w:firstLine="720"/>
      </w:pPr>
      <w:r>
        <w:t xml:space="preserve">Our results contribute to the literature on consumer research and marketing in several ways. First, we demonstrate that mental accounting remains robust and replicates across a diverse set of people globally. Across 5,589 participants from 21 countries, we found strong evidence for the robustness of mental accounting, with all seven selected scenarios replicating in the same direction as the originals and 90.5% of country-level estimates remaining statistically significant (notably higher than the 70% average replication rate observed across social science replication efforts; </w:t>
      </w:r>
      <w:proofErr w:type="spellStart"/>
      <w:r>
        <w:t>Altmejd</w:t>
      </w:r>
      <w:proofErr w:type="spellEnd"/>
      <w:r>
        <w:t xml:space="preserve"> et al. 2019). Furthermore, </w:t>
      </w:r>
      <w:r>
        <w:lastRenderedPageBreak/>
        <w:t xml:space="preserve">although effect sizes were attenuated, mental accounting effects persisted across diverse populations. </w:t>
      </w:r>
    </w:p>
    <w:p w:rsidR="00750EF6" w:rsidRDefault="002B2CD6">
      <w:pPr>
        <w:ind w:firstLine="720"/>
      </w:pPr>
      <w:r>
        <w:t xml:space="preserve">Second, we demonstrate that individual differences in financial literacy and demographic characteristics do not account for the variability in how mental accounting manifests across countries, whereas a country’s economic conditions do. Specifically, our analysis identifies a link between GDP per capita and mental accounting. We find a stronger association of mental accounting effects with GDP per capita up to about $50,000, after which the correlation levels off. We demonstrated that this relationship holds even when controlling for other socio-economic characteristics of countries (i.e., currency denomination, degree of democracy, and inequality), but treat the findings as exploratory and recommend more nuanced analyses of the role of GDP and other potential covariates. </w:t>
      </w:r>
    </w:p>
    <w:p w:rsidR="00750EF6" w:rsidRDefault="002B2CD6">
      <w:pPr>
        <w:ind w:firstLine="720"/>
      </w:pPr>
      <w:r>
        <w:t xml:space="preserve">Finally, through an exploratory multi-dimensional scaling analysis, we identified an informative three-dimensional structure in how mental accounting effects vary across countries. This suggests that the variability of mental accounting between populations depends on scenario features such as whether decisions involve social context, require a particular decision perspective, or demand different levels of engagement in the role of price determination. While mental accounting is indeed a collection of different effects that encompass how consumers make financial decisions, our results add a new layer to the original model by showing that these commonly used scenarios can be structured into a parsimonious set of categories. </w:t>
      </w:r>
    </w:p>
    <w:p w:rsidR="00750EF6" w:rsidRDefault="002B2CD6">
      <w:pPr>
        <w:ind w:firstLine="720"/>
      </w:pPr>
      <w:r>
        <w:t xml:space="preserve">Our results offer reassurance for the mental-accounting-based policies already implemented while providing a reliable base to create new ones, such as initiatives to support consumers in managing debt or recognizing fraudulent financial practices. Similarly, home </w:t>
      </w:r>
      <w:r>
        <w:lastRenderedPageBreak/>
        <w:t>banking apps could leverage mental accounting to help customers better understand their savings and spending patterns, and make more informed financial decisions. We present a summary of our main findings and contributions in table 2.</w:t>
      </w:r>
    </w:p>
    <w:p w:rsidR="00750EF6" w:rsidRDefault="00750EF6">
      <w:pPr>
        <w:spacing w:before="240" w:after="240"/>
        <w:ind w:right="0"/>
      </w:pPr>
    </w:p>
    <w:p w:rsidR="00750EF6" w:rsidRDefault="002B2CD6">
      <w:pPr>
        <w:jc w:val="center"/>
        <w:rPr>
          <w:b/>
          <w:bCs/>
        </w:rPr>
      </w:pPr>
      <w:r>
        <w:rPr>
          <w:b/>
          <w:bCs/>
        </w:rPr>
        <w:t>TABLE 2</w:t>
      </w:r>
    </w:p>
    <w:p w:rsidR="00750EF6" w:rsidRDefault="002B2CD6">
      <w:pPr>
        <w:jc w:val="center"/>
      </w:pPr>
      <w:r>
        <w:t>OVERVIEW OF RESEARCH QUESTIONS, MAIN RESULTS, AND CONTRIBUTIONS</w:t>
      </w:r>
    </w:p>
    <w:tbl>
      <w:tblPr>
        <w:tblStyle w:val="afb"/>
        <w:tblW w:w="9360" w:type="dxa"/>
        <w:tblBorders>
          <w:top w:val="nil"/>
          <w:left w:val="nil"/>
          <w:bottom w:val="nil"/>
          <w:right w:val="nil"/>
          <w:insideH w:val="nil"/>
          <w:insideV w:val="nil"/>
        </w:tblBorders>
        <w:tblLayout w:type="fixed"/>
        <w:tblLook w:val="0600" w:firstRow="0" w:lastRow="0" w:firstColumn="0" w:lastColumn="0" w:noHBand="1" w:noVBand="1"/>
      </w:tblPr>
      <w:tblGrid>
        <w:gridCol w:w="2835"/>
        <w:gridCol w:w="3405"/>
        <w:gridCol w:w="3120"/>
      </w:tblGrid>
      <w:tr w:rsidR="00750EF6">
        <w:trPr>
          <w:trHeight w:val="506"/>
        </w:trPr>
        <w:tc>
          <w:tcPr>
            <w:tcW w:w="2835" w:type="dxa"/>
            <w:tcBorders>
              <w:top w:val="single" w:sz="6" w:space="0" w:color="000000"/>
              <w:left w:val="nil"/>
              <w:bottom w:val="single" w:sz="6" w:space="0" w:color="000000"/>
              <w:right w:val="nil"/>
            </w:tcBorders>
            <w:tcMar>
              <w:top w:w="0" w:type="dxa"/>
              <w:left w:w="80" w:type="dxa"/>
              <w:bottom w:w="0" w:type="dxa"/>
              <w:right w:w="80" w:type="dxa"/>
            </w:tcMar>
          </w:tcPr>
          <w:p w:rsidR="00750EF6" w:rsidRDefault="002B2CD6">
            <w:pPr>
              <w:ind w:right="0"/>
              <w:rPr>
                <w:b/>
                <w:bCs/>
              </w:rPr>
            </w:pPr>
            <w:r>
              <w:rPr>
                <w:b/>
                <w:bCs/>
              </w:rPr>
              <w:t xml:space="preserve"> Research Question</w:t>
            </w:r>
          </w:p>
        </w:tc>
        <w:tc>
          <w:tcPr>
            <w:tcW w:w="3405" w:type="dxa"/>
            <w:tcBorders>
              <w:top w:val="single" w:sz="6" w:space="0" w:color="000000"/>
              <w:left w:val="nil"/>
              <w:bottom w:val="single" w:sz="6" w:space="0" w:color="000000"/>
              <w:right w:val="nil"/>
            </w:tcBorders>
            <w:tcMar>
              <w:top w:w="0" w:type="dxa"/>
              <w:left w:w="80" w:type="dxa"/>
              <w:bottom w:w="0" w:type="dxa"/>
              <w:right w:w="80" w:type="dxa"/>
            </w:tcMar>
          </w:tcPr>
          <w:p w:rsidR="00750EF6" w:rsidRDefault="002B2CD6">
            <w:pPr>
              <w:ind w:right="0"/>
              <w:rPr>
                <w:b/>
                <w:bCs/>
              </w:rPr>
            </w:pPr>
            <w:r>
              <w:rPr>
                <w:b/>
                <w:bCs/>
              </w:rPr>
              <w:t>Main results</w:t>
            </w:r>
          </w:p>
        </w:tc>
        <w:tc>
          <w:tcPr>
            <w:tcW w:w="3120" w:type="dxa"/>
            <w:tcBorders>
              <w:top w:val="single" w:sz="6" w:space="0" w:color="000000"/>
              <w:left w:val="nil"/>
              <w:bottom w:val="single" w:sz="6" w:space="0" w:color="000000"/>
              <w:right w:val="nil"/>
            </w:tcBorders>
            <w:tcMar>
              <w:top w:w="0" w:type="dxa"/>
              <w:left w:w="80" w:type="dxa"/>
              <w:bottom w:w="0" w:type="dxa"/>
              <w:right w:w="80" w:type="dxa"/>
            </w:tcMar>
          </w:tcPr>
          <w:p w:rsidR="00750EF6" w:rsidRDefault="002B2CD6">
            <w:pPr>
              <w:ind w:right="0"/>
              <w:rPr>
                <w:b/>
                <w:bCs/>
              </w:rPr>
            </w:pPr>
            <w:r>
              <w:rPr>
                <w:b/>
                <w:bCs/>
              </w:rPr>
              <w:t>Main contributions</w:t>
            </w:r>
          </w:p>
        </w:tc>
      </w:tr>
      <w:tr w:rsidR="00750EF6">
        <w:trPr>
          <w:trHeight w:val="1363"/>
        </w:trPr>
        <w:tc>
          <w:tcPr>
            <w:tcW w:w="2835" w:type="dxa"/>
            <w:tcBorders>
              <w:top w:val="nil"/>
              <w:left w:val="nil"/>
              <w:bottom w:val="nil"/>
              <w:right w:val="nil"/>
            </w:tcBorders>
            <w:tcMar>
              <w:top w:w="0" w:type="dxa"/>
              <w:left w:w="80" w:type="dxa"/>
              <w:bottom w:w="0" w:type="dxa"/>
              <w:right w:w="80" w:type="dxa"/>
            </w:tcMar>
          </w:tcPr>
          <w:p w:rsidR="00750EF6" w:rsidRDefault="002B2CD6">
            <w:pPr>
              <w:spacing w:line="276" w:lineRule="auto"/>
              <w:ind w:right="0"/>
            </w:pPr>
            <w:r>
              <w:t>RQ1: Is mental accounting robust and reliable across countries and over time?</w:t>
            </w:r>
          </w:p>
        </w:tc>
        <w:tc>
          <w:tcPr>
            <w:tcW w:w="3405" w:type="dxa"/>
            <w:tcBorders>
              <w:top w:val="nil"/>
              <w:left w:val="nil"/>
              <w:bottom w:val="nil"/>
              <w:right w:val="nil"/>
            </w:tcBorders>
            <w:tcMar>
              <w:top w:w="0" w:type="dxa"/>
              <w:left w:w="80" w:type="dxa"/>
              <w:bottom w:w="0" w:type="dxa"/>
              <w:right w:w="80" w:type="dxa"/>
            </w:tcMar>
          </w:tcPr>
          <w:p w:rsidR="00750EF6" w:rsidRDefault="002B2CD6">
            <w:pPr>
              <w:spacing w:line="276" w:lineRule="auto"/>
              <w:ind w:right="0"/>
            </w:pPr>
            <w:proofErr w:type="spellStart"/>
            <w:r>
              <w:t>Unpooled</w:t>
            </w:r>
            <w:proofErr w:type="spellEnd"/>
            <w:r>
              <w:t xml:space="preserve"> analysis: 90.5% overall replication</w:t>
            </w:r>
          </w:p>
          <w:p w:rsidR="00750EF6" w:rsidRDefault="002B2CD6">
            <w:pPr>
              <w:spacing w:line="276" w:lineRule="auto"/>
              <w:ind w:right="0"/>
            </w:pPr>
            <w:r>
              <w:t>Pooled analysis: 100% overall replication</w:t>
            </w:r>
          </w:p>
        </w:tc>
        <w:tc>
          <w:tcPr>
            <w:tcW w:w="3120" w:type="dxa"/>
            <w:tcBorders>
              <w:top w:val="nil"/>
              <w:left w:val="nil"/>
              <w:bottom w:val="nil"/>
              <w:right w:val="nil"/>
            </w:tcBorders>
            <w:tcMar>
              <w:top w:w="0" w:type="dxa"/>
              <w:left w:w="80" w:type="dxa"/>
              <w:bottom w:w="0" w:type="dxa"/>
              <w:right w:w="80" w:type="dxa"/>
            </w:tcMar>
          </w:tcPr>
          <w:p w:rsidR="00750EF6" w:rsidRDefault="002B2CD6">
            <w:pPr>
              <w:spacing w:line="276" w:lineRule="auto"/>
              <w:ind w:right="0"/>
            </w:pPr>
            <w:r>
              <w:t>Mental accounting is a robust and reliable phenomenon across a diverse sample from 21 countries and over time</w:t>
            </w:r>
          </w:p>
        </w:tc>
      </w:tr>
      <w:tr w:rsidR="00750EF6">
        <w:trPr>
          <w:trHeight w:val="2547"/>
        </w:trPr>
        <w:tc>
          <w:tcPr>
            <w:tcW w:w="2835" w:type="dxa"/>
            <w:tcBorders>
              <w:top w:val="single" w:sz="6" w:space="0" w:color="000000"/>
              <w:left w:val="nil"/>
              <w:bottom w:val="single" w:sz="6" w:space="0" w:color="000000"/>
              <w:right w:val="nil"/>
            </w:tcBorders>
            <w:tcMar>
              <w:top w:w="0" w:type="dxa"/>
              <w:left w:w="80" w:type="dxa"/>
              <w:bottom w:w="0" w:type="dxa"/>
              <w:right w:w="80" w:type="dxa"/>
            </w:tcMar>
          </w:tcPr>
          <w:p w:rsidR="00750EF6" w:rsidRDefault="002B2CD6">
            <w:pPr>
              <w:spacing w:line="276" w:lineRule="auto"/>
              <w:ind w:right="0"/>
            </w:pPr>
            <w:r>
              <w:t>RQ2: Are there moderating factors of mental accounting across countries?</w:t>
            </w:r>
          </w:p>
        </w:tc>
        <w:tc>
          <w:tcPr>
            <w:tcW w:w="3405" w:type="dxa"/>
            <w:tcBorders>
              <w:top w:val="single" w:sz="6" w:space="0" w:color="000000"/>
              <w:left w:val="nil"/>
              <w:bottom w:val="single" w:sz="6" w:space="0" w:color="000000"/>
              <w:right w:val="nil"/>
            </w:tcBorders>
            <w:tcMar>
              <w:top w:w="0" w:type="dxa"/>
              <w:left w:w="80" w:type="dxa"/>
              <w:bottom w:w="0" w:type="dxa"/>
              <w:right w:w="80" w:type="dxa"/>
            </w:tcMar>
          </w:tcPr>
          <w:p w:rsidR="00750EF6" w:rsidRDefault="002B2CD6">
            <w:pPr>
              <w:spacing w:line="276" w:lineRule="auto"/>
              <w:ind w:right="0"/>
            </w:pPr>
            <w:r>
              <w:t>Socio-demographic and Financial literacy: no significant effects.</w:t>
            </w:r>
          </w:p>
          <w:p w:rsidR="00750EF6" w:rsidRDefault="002B2CD6">
            <w:pPr>
              <w:spacing w:line="276" w:lineRule="auto"/>
              <w:ind w:right="0"/>
            </w:pPr>
            <w:r>
              <w:t>GDP per capita: significant, positive association up to US$ 50,000 threshold.</w:t>
            </w:r>
          </w:p>
          <w:p w:rsidR="00750EF6" w:rsidRDefault="002B2CD6">
            <w:pPr>
              <w:spacing w:line="276" w:lineRule="auto"/>
              <w:ind w:right="0"/>
            </w:pPr>
            <w:r>
              <w:t>Currency denomination, Democracy Index, Gini coefficient: no significant effects.</w:t>
            </w:r>
          </w:p>
        </w:tc>
        <w:tc>
          <w:tcPr>
            <w:tcW w:w="3120" w:type="dxa"/>
            <w:tcBorders>
              <w:top w:val="single" w:sz="6" w:space="0" w:color="000000"/>
              <w:left w:val="nil"/>
              <w:bottom w:val="single" w:sz="6" w:space="0" w:color="000000"/>
              <w:right w:val="nil"/>
            </w:tcBorders>
            <w:tcMar>
              <w:top w:w="0" w:type="dxa"/>
              <w:left w:w="80" w:type="dxa"/>
              <w:bottom w:w="0" w:type="dxa"/>
              <w:right w:w="80" w:type="dxa"/>
            </w:tcMar>
          </w:tcPr>
          <w:p w:rsidR="00750EF6" w:rsidRDefault="002B2CD6">
            <w:pPr>
              <w:spacing w:line="276" w:lineRule="auto"/>
              <w:ind w:right="0"/>
            </w:pPr>
            <w:r>
              <w:t>GDP per capita is positively and non-linearly associated with stronger mental accounting effects.</w:t>
            </w:r>
          </w:p>
          <w:p w:rsidR="00750EF6" w:rsidRDefault="002B2CD6">
            <w:pPr>
              <w:spacing w:line="276" w:lineRule="auto"/>
              <w:ind w:right="0"/>
            </w:pPr>
            <w:r>
              <w:t>Individual differences do not explain variation in mental accounting across countries.</w:t>
            </w:r>
          </w:p>
          <w:p w:rsidR="00750EF6" w:rsidRDefault="002B2CD6">
            <w:pPr>
              <w:spacing w:line="276" w:lineRule="auto"/>
              <w:ind w:left="720" w:right="0"/>
            </w:pPr>
            <w:r>
              <w:t xml:space="preserve"> </w:t>
            </w:r>
          </w:p>
        </w:tc>
      </w:tr>
      <w:tr w:rsidR="00750EF6">
        <w:trPr>
          <w:trHeight w:val="2604"/>
        </w:trPr>
        <w:tc>
          <w:tcPr>
            <w:tcW w:w="2835" w:type="dxa"/>
            <w:tcBorders>
              <w:top w:val="nil"/>
              <w:left w:val="nil"/>
              <w:bottom w:val="single" w:sz="6" w:space="0" w:color="000000"/>
              <w:right w:val="nil"/>
            </w:tcBorders>
            <w:tcMar>
              <w:top w:w="0" w:type="dxa"/>
              <w:left w:w="80" w:type="dxa"/>
              <w:bottom w:w="0" w:type="dxa"/>
              <w:right w:w="80" w:type="dxa"/>
            </w:tcMar>
          </w:tcPr>
          <w:p w:rsidR="00750EF6" w:rsidRDefault="002B2CD6">
            <w:pPr>
              <w:spacing w:line="276" w:lineRule="auto"/>
              <w:ind w:right="0"/>
            </w:pPr>
            <w:r>
              <w:t>Exploratory Analysis: How are the mental accounting scenarios related?</w:t>
            </w:r>
          </w:p>
        </w:tc>
        <w:tc>
          <w:tcPr>
            <w:tcW w:w="3405" w:type="dxa"/>
            <w:tcBorders>
              <w:top w:val="nil"/>
              <w:left w:val="nil"/>
              <w:bottom w:val="single" w:sz="6" w:space="0" w:color="000000"/>
              <w:right w:val="nil"/>
            </w:tcBorders>
            <w:tcMar>
              <w:top w:w="0" w:type="dxa"/>
              <w:left w:w="80" w:type="dxa"/>
              <w:bottom w:w="0" w:type="dxa"/>
              <w:right w:w="80" w:type="dxa"/>
            </w:tcMar>
          </w:tcPr>
          <w:p w:rsidR="00750EF6" w:rsidRDefault="002B2CD6">
            <w:pPr>
              <w:spacing w:line="276" w:lineRule="auto"/>
              <w:ind w:right="0"/>
            </w:pPr>
            <w:r>
              <w:t>Multidimensional scaling analysis (MDS) presents a three-dimensional structure:</w:t>
            </w:r>
          </w:p>
          <w:p w:rsidR="00750EF6" w:rsidRDefault="002B2CD6">
            <w:pPr>
              <w:spacing w:line="276" w:lineRule="auto"/>
              <w:ind w:right="0"/>
            </w:pPr>
            <w:r>
              <w:rPr>
                <w:b/>
                <w:bCs/>
              </w:rPr>
              <w:t>Dimension 1:</w:t>
            </w:r>
            <w:r>
              <w:t xml:space="preserve"> social context involvement (individual vs interactive decisions)</w:t>
            </w:r>
          </w:p>
          <w:p w:rsidR="00750EF6" w:rsidRDefault="002B2CD6">
            <w:pPr>
              <w:spacing w:line="276" w:lineRule="auto"/>
              <w:ind w:right="0"/>
            </w:pPr>
            <w:r>
              <w:rPr>
                <w:b/>
                <w:bCs/>
              </w:rPr>
              <w:t xml:space="preserve">Dimension 2: </w:t>
            </w:r>
            <w:r>
              <w:t>decision perspective (self vs other)</w:t>
            </w:r>
          </w:p>
          <w:p w:rsidR="00750EF6" w:rsidRDefault="002B2CD6">
            <w:pPr>
              <w:spacing w:line="276" w:lineRule="auto"/>
              <w:ind w:right="0"/>
            </w:pPr>
            <w:r>
              <w:rPr>
                <w:b/>
                <w:bCs/>
              </w:rPr>
              <w:t xml:space="preserve">Dimension 3: </w:t>
            </w:r>
            <w:r>
              <w:t>role in price determination (setting vs evaluating prices)</w:t>
            </w:r>
          </w:p>
        </w:tc>
        <w:tc>
          <w:tcPr>
            <w:tcW w:w="3120" w:type="dxa"/>
            <w:tcBorders>
              <w:top w:val="nil"/>
              <w:left w:val="nil"/>
              <w:bottom w:val="single" w:sz="6" w:space="0" w:color="000000"/>
              <w:right w:val="nil"/>
            </w:tcBorders>
            <w:tcMar>
              <w:top w:w="0" w:type="dxa"/>
              <w:left w:w="80" w:type="dxa"/>
              <w:bottom w:w="0" w:type="dxa"/>
              <w:right w:w="80" w:type="dxa"/>
            </w:tcMar>
          </w:tcPr>
          <w:p w:rsidR="00750EF6" w:rsidRDefault="002B2CD6">
            <w:pPr>
              <w:spacing w:line="276" w:lineRule="auto"/>
              <w:ind w:right="0"/>
            </w:pPr>
            <w:r>
              <w:t>Mental accounting effects are not uniform across scenario types; between-country effect size patterns cluster along three interpretable dimensions</w:t>
            </w:r>
          </w:p>
        </w:tc>
      </w:tr>
    </w:tbl>
    <w:p w:rsidR="00750EF6" w:rsidRDefault="002B2CD6">
      <w:pPr>
        <w:ind w:right="0"/>
      </w:pPr>
      <w:r>
        <w:t xml:space="preserve"> </w:t>
      </w:r>
    </w:p>
    <w:p w:rsidR="00750EF6" w:rsidRDefault="002B2CD6">
      <w:pPr>
        <w:spacing w:before="120" w:after="120"/>
        <w:ind w:right="0" w:firstLine="720"/>
      </w:pPr>
      <w:r>
        <w:t xml:space="preserve"> </w:t>
      </w:r>
    </w:p>
    <w:p w:rsidR="00750EF6" w:rsidRDefault="002B2CD6">
      <w:pPr>
        <w:jc w:val="center"/>
        <w:rPr>
          <w:b/>
          <w:bCs/>
        </w:rPr>
      </w:pPr>
      <w:bookmarkStart w:id="7" w:name="_heading=h.z26p2aur9xu7" w:colFirst="0" w:colLast="0"/>
      <w:bookmarkEnd w:id="7"/>
      <w:r>
        <w:rPr>
          <w:b/>
          <w:bCs/>
        </w:rPr>
        <w:lastRenderedPageBreak/>
        <w:t>MATERIALS AND METHODS</w:t>
      </w:r>
    </w:p>
    <w:p w:rsidR="00750EF6" w:rsidRDefault="00750EF6">
      <w:pPr>
        <w:rPr>
          <w:color w:val="000000"/>
        </w:rPr>
      </w:pPr>
    </w:p>
    <w:p w:rsidR="00750EF6" w:rsidRDefault="002B2CD6">
      <w:pPr>
        <w:ind w:firstLine="720"/>
      </w:pPr>
      <w:r>
        <w:t xml:space="preserve">The study received approval from the Ethical Committee for Psychological Research at the University of XXXX (Protocol number: XXX) and from the University Human Research Ethics Committee at XXX University (Protocol number: XXXX). In all countries, participants included in the analyses provided their informed consent at the beginning and the end of the survey (see “Procedure” section). We did not use any forms of deception or hidden purposes, and all information about the study was fully disclosed. The study was pre-registered on the Open Science Framework (OSF) repository </w:t>
      </w:r>
      <w:r>
        <w:rPr>
          <w:color w:val="0000FF"/>
          <w:u w:val="single"/>
        </w:rPr>
        <w:t>(https://osf.io/u3j9b?view_only=315ffe29f0b742b99943a943315a53e2)</w:t>
      </w:r>
      <w:r>
        <w:t xml:space="preserve">. All materials, datasets, and code, as well as any deviations from the pre-registration, are reported below and on our OSF project page </w:t>
      </w:r>
      <w:r>
        <w:rPr>
          <w:color w:val="0000FF"/>
          <w:u w:val="single"/>
        </w:rPr>
        <w:t>(https://osf.io/kgesy/?view_only=55dce1f15b1c465496fc796b5835e55a)</w:t>
      </w:r>
      <w:r>
        <w:t xml:space="preserve">. </w:t>
      </w:r>
    </w:p>
    <w:p w:rsidR="00750EF6" w:rsidRDefault="00750EF6"/>
    <w:p w:rsidR="00750EF6" w:rsidRDefault="002B2CD6">
      <w:bookmarkStart w:id="8" w:name="_heading=h.lb08rpew2l8e" w:colFirst="0" w:colLast="0"/>
      <w:bookmarkEnd w:id="8"/>
      <w:r>
        <w:t>Sample</w:t>
      </w:r>
    </w:p>
    <w:p w:rsidR="00750EF6" w:rsidRDefault="00750EF6"/>
    <w:p w:rsidR="00750EF6" w:rsidRDefault="002B2CD6">
      <w:pPr>
        <w:ind w:firstLine="720"/>
      </w:pPr>
      <w:r>
        <w:t xml:space="preserve">The lead researchers and collaborators recruited participants from 32 countries, covering 23 languages. We included all countries where we could find appropriate collaborators and employed no other method to systematically include/exclude countries. Each country team was composed of at least two collaborators with direct connections to the country, either as natives or due to work relocation. To ensure consistency, the lead researchers shared guidelines on translation and adaptation of stimuli, as well as data collection. We excluded three countries (Colombia, Hungary, and South Korea) that dropped </w:t>
      </w:r>
      <w:r>
        <w:lastRenderedPageBreak/>
        <w:t>out during data collection, and eight countries (Ghana, Iran, Israel, Russia, Singapore, South Africa, Turkey, and the UK) that failed to reach the minimum pre-registered sample size (250 participants per country based on a power analysis; see “Power and Error” section). In the main text, we thus report results from 21 countries (i.e., Austria, Brazil, Canada, China, Denmark, Egypt, France, Germany, India, Indonesia, Italy, Lithuania, Morocco, Netherlands, Portugal, Romania, Spain, Sweden, Switzerland, the USA, and Vietnam). Participants received no monetary compensation to partake in the study, and were all adults, with the legal age defined within each country. Exclusion criteria at participant-level included a completion rate below 100% on the survey and reporting a value below 4 on a self-reported data quality question (i.e., “How serious have you been about filling in the survey?”, from 1 “Not serious at all” to 5 “Absolutely serious”). We also calculated one-third of the median Length of Interview (LOI) and conducted analyses both including and excluding participants whose completion times fell outside this range. Results in the main text refer to samples not considering the LOI exclusion criteria. A total of 5,589 participants completed the survey and met the preregistered inclusion criteria, with 57.1% female and a median age of 30 (IQR: 24-40, see table 1 in web appendix). Results related to the full dataset without exclusion criteria are reported in the web appendix (Section 3).</w:t>
      </w:r>
    </w:p>
    <w:p w:rsidR="00750EF6" w:rsidRDefault="00750EF6"/>
    <w:p w:rsidR="00750EF6" w:rsidRDefault="002B2CD6">
      <w:bookmarkStart w:id="9" w:name="_heading=h.9t9dr0axhd26" w:colFirst="0" w:colLast="0"/>
      <w:bookmarkEnd w:id="9"/>
      <w:r>
        <w:t xml:space="preserve">Instrument </w:t>
      </w:r>
    </w:p>
    <w:p w:rsidR="00750EF6" w:rsidRDefault="00750EF6"/>
    <w:p w:rsidR="00750EF6" w:rsidRDefault="002B2CD6">
      <w:pPr>
        <w:ind w:firstLine="720"/>
      </w:pPr>
      <w:r>
        <w:t>To test the replicability of the mental accounting effects, we selected seven scenarios</w:t>
      </w:r>
      <w:r>
        <w:rPr>
          <w:color w:val="F79646"/>
        </w:rPr>
        <w:t xml:space="preserve"> </w:t>
      </w:r>
      <w:r>
        <w:t xml:space="preserve">(see table 1) with multiple conditions (Kahneman and Tversky 1982; </w:t>
      </w:r>
      <w:proofErr w:type="spellStart"/>
      <w:r>
        <w:t>Shafir</w:t>
      </w:r>
      <w:proofErr w:type="spellEnd"/>
      <w:r>
        <w:t xml:space="preserve"> and Thaler 2006; Thaler 1985; Tversky and Kahneman 1981). The survey employed a within-subjects design, </w:t>
      </w:r>
      <w:r>
        <w:lastRenderedPageBreak/>
        <w:t>where each participant saw all seven scenarios</w:t>
      </w:r>
      <w:r>
        <w:rPr>
          <w:color w:val="F79646"/>
        </w:rPr>
        <w:t xml:space="preserve"> </w:t>
      </w:r>
      <w:r>
        <w:t>and all the conditions for each scenario. We chose a within-subjects design to increase statistical power given a lower sample size. Furthermore, previous replication efforts used a similar methodology to test multiple effects in one study (Ruggeri et al. 2020). We used a nested randomized presentation of the scenarios to minimize learning effects and reduce the likelihood of presenting two related scenarios close to each other (see “Procedure”). We allowed two modifications to ensure robust and current relevance. In the “Drink” scenario (Thaler 1985), “cold beer” was replaced with “a drink” to include participants from cultures where alcohol is prohibited or discouraged. In the “Jacket” scenario (Kahneman and Tversky 1982; Tversky and Kahneman 1981), the “calculator” was replaced with a “Bluetooth speaker” to reflect a more current and common product. After consulting with the lead researchers, local collaborators could make reasonable adaptations to enhance cultural appropriateness and relatability. Instances of these adaptations are: the substitution of “lottery ticket” in the first and third “</w:t>
      </w:r>
      <w:proofErr w:type="spellStart"/>
      <w:r>
        <w:t>MrAB</w:t>
      </w:r>
      <w:proofErr w:type="spellEnd"/>
      <w:r>
        <w:t>” scenarios (Thaler 1985) with the term “lucky draw” or “raffle” in countries where lotteries are frowned upon or banned, such as Singapore and India; the substitution of “plane” in the “Plane” scenario (</w:t>
      </w:r>
      <w:proofErr w:type="spellStart"/>
      <w:r>
        <w:t>Shafir</w:t>
      </w:r>
      <w:proofErr w:type="spellEnd"/>
      <w:r>
        <w:t xml:space="preserve"> and Thaler 2006) with “train” or “bus” when traveling by plane within a country was deemed unrealistic by the collaborators. All instances where a modification occurred are reported on our OSF project page </w:t>
      </w:r>
      <w:r>
        <w:rPr>
          <w:color w:val="0000FF"/>
          <w:u w:val="single"/>
        </w:rPr>
        <w:t>(</w:t>
      </w:r>
      <w:hyperlink r:id="rId7">
        <w:r>
          <w:rPr>
            <w:color w:val="1155CC"/>
            <w:u w:val="single"/>
          </w:rPr>
          <w:t>https://osf.io/kgesy/?view_only=55dce1f15b1c465496fc796b5835e55a</w:t>
        </w:r>
      </w:hyperlink>
      <w:r>
        <w:rPr>
          <w:color w:val="0000FF"/>
          <w:u w:val="single"/>
        </w:rPr>
        <w:t>)</w:t>
      </w:r>
      <w:r>
        <w:t>.</w:t>
      </w:r>
    </w:p>
    <w:p w:rsidR="00750EF6" w:rsidRDefault="00750EF6"/>
    <w:p w:rsidR="00750EF6" w:rsidRDefault="002B2CD6">
      <w:bookmarkStart w:id="10" w:name="_heading=h.liyt9ge8qsot" w:colFirst="0" w:colLast="0"/>
      <w:bookmarkEnd w:id="10"/>
      <w:r>
        <w:t xml:space="preserve">Financial Values and Adaptation </w:t>
      </w:r>
    </w:p>
    <w:p w:rsidR="00750EF6" w:rsidRDefault="00750EF6">
      <w:pPr>
        <w:rPr>
          <w:b/>
          <w:bCs/>
        </w:rPr>
      </w:pPr>
    </w:p>
    <w:p w:rsidR="00750EF6" w:rsidRDefault="002B2CD6">
      <w:pPr>
        <w:ind w:firstLine="720"/>
        <w:rPr>
          <w:b/>
          <w:bCs/>
        </w:rPr>
      </w:pPr>
      <w:r>
        <w:lastRenderedPageBreak/>
        <w:t xml:space="preserve">To adapt the financial values to current values and respective countries’ currencies, we performed a calculation based on median incomes in two steps, following previously published replications (Ruggeri et al. 2020). First, we calculated how much (in percentage) every financial value corresponded to the U.S. household median income in the year of publication of the original selected scenarios (i.e., 1981, 1985, and 2006). We then multiplied the percentage obtained in step one by the current median income in each country. For example, $50 represents 0.21% of the U.S. median income ($23,620) in 1985. We then obtained our adapted financial value by multiplying by 0.21% the current U.S. median income ($74,099), which resulted in $156. Finally, the resulting values were rounded to ensure that they were easy to process while maintaining the proportions of the financial values within scenarios (in the example above, $156 was rounded up to $160). After performing these calculations, the collaborators in each country were consulted to verify the plausibility of the obtained values in their respective currencies. For countries that do not publish an official median income (e.g., Brazil, Egypt, and Iran), we used the average household income. For countries where the local currency’s purchasing value was substantially lower, we applied an upward adaptation to the entire group of values. Some countries adjusted the values in certain specific scenarios to ensure that prices were realistic. For example, the prices in the Gym scenario were significantly reduced in Canada (yearly membership: CAD$ 1400 after calculation, CAD$ 700 final adjusted value) and Singapore (yearly membership: 2370 SGD after calculation, 1200 SGD final adjusted value) as the value after calculation did not align with current market prices. On the contrary, in countries where the calculated value was aligned with current market prices, the values remained unvaried, for example in Turkey (yearly membership: 1785 TRY after calculation, 1800 </w:t>
      </w:r>
      <w:r>
        <w:lastRenderedPageBreak/>
        <w:t xml:space="preserve">TRY final adjusted value) or Austria (yearly membership: 830 € after calculation, 800 € final adjusted value). All instances where a modification occurred are reported on our OSF project page, and a table with all the adjusted and final values, as well as the yearly household income for each scenario in every country </w:t>
      </w:r>
      <w:hyperlink r:id="rId8">
        <w:r>
          <w:rPr>
            <w:color w:val="0000FF"/>
            <w:u w:val="single"/>
          </w:rPr>
          <w:t>(https://osf.io/kgesy/?view_only=55dce1f15b1c465496fc796b5835e55a)</w:t>
        </w:r>
      </w:hyperlink>
      <w:r>
        <w:rPr>
          <w:color w:val="0000FF"/>
          <w:u w:val="single"/>
        </w:rPr>
        <w:t xml:space="preserve">. </w:t>
      </w:r>
    </w:p>
    <w:p w:rsidR="00750EF6" w:rsidRDefault="00750EF6">
      <w:pPr>
        <w:rPr>
          <w:b/>
          <w:bCs/>
        </w:rPr>
      </w:pPr>
    </w:p>
    <w:p w:rsidR="00750EF6" w:rsidRDefault="002B2CD6">
      <w:bookmarkStart w:id="11" w:name="_heading=h.ovyh6k26cifd" w:colFirst="0" w:colLast="0"/>
      <w:bookmarkEnd w:id="11"/>
      <w:r>
        <w:t>Translation</w:t>
      </w:r>
    </w:p>
    <w:p w:rsidR="00750EF6" w:rsidRDefault="00750EF6"/>
    <w:p w:rsidR="00750EF6" w:rsidRDefault="002B2CD6">
      <w:pPr>
        <w:ind w:firstLine="720"/>
        <w:rPr>
          <w:b/>
          <w:bCs/>
        </w:rPr>
      </w:pPr>
      <w:r>
        <w:t>We translated the survey into all languages using forward-and-backward translation from English. One individual translated the entire survey from English to the target language. Afterwards, a second individual translated it back into English, and the two English versions were compared. In case any discrepancies in the translation could not be resolved through discussion, a third person was involved as a mediator. In countries where collaborators were not native speakers (or if there were not enough collaborators to complete the forward-and-backwards translation), they recruited at least one native speaker to aid the process. We implemented this method for all the non-English</w:t>
      </w:r>
      <w:r>
        <w:rPr>
          <w:color w:val="137333"/>
        </w:rPr>
        <w:t>-</w:t>
      </w:r>
      <w:r>
        <w:t xml:space="preserve">speaking countries. Specific issues that arose around appropriateness and cultural adaptation were resolved country by country; for example, in Egypt, the option “non-binary/third gender” was changed to “other”. We aimed to maintain the survey as gender-neutral as possible. However, in some languages, this was not possible because of grammatical rules and/or the social norms of the country. </w:t>
      </w:r>
    </w:p>
    <w:p w:rsidR="00750EF6" w:rsidRDefault="00750EF6">
      <w:pPr>
        <w:rPr>
          <w:b/>
          <w:bCs/>
        </w:rPr>
      </w:pPr>
    </w:p>
    <w:p w:rsidR="00750EF6" w:rsidRDefault="002B2CD6">
      <w:bookmarkStart w:id="12" w:name="_heading=h.kazn4d4lk21" w:colFirst="0" w:colLast="0"/>
      <w:bookmarkEnd w:id="12"/>
      <w:r>
        <w:t xml:space="preserve">Demographics and Individual Differences </w:t>
      </w:r>
    </w:p>
    <w:p w:rsidR="00750EF6" w:rsidRDefault="00750EF6">
      <w:pPr>
        <w:rPr>
          <w:b/>
          <w:bCs/>
        </w:rPr>
      </w:pPr>
    </w:p>
    <w:p w:rsidR="00750EF6" w:rsidRDefault="002B2CD6">
      <w:pPr>
        <w:ind w:firstLine="720"/>
        <w:rPr>
          <w:b/>
          <w:bCs/>
        </w:rPr>
      </w:pPr>
      <w:r>
        <w:lastRenderedPageBreak/>
        <w:t xml:space="preserve">At the end of the survey, participants reported demographic and socio-economic information, including their age, gender identity, years of schooling (from elementary school to doctoral degree or specialization), country of residence, native language, and last year’s household income. To ensure between country comparability, we calculated income ranges based on each country’s median monthly household income (or mean, if median data were unavailable). Participants could choose from six income brackets relative to the median: less than 50%, 50-75%, 75-100%, 100-125%, 125-150%, and over 150%, with an option to “Prefer not to answer”). In the survey, we presented actual monetary values calculated on a per-country basis (for instance, participants in the U.S. were presented with the following seven options: Less than $35,000; $35,000 - $52,000; $52,000 - $70,000; $70,000 - $87,000; $87,000 - $105,000; More than $105,000; Prefer not to answer). When needed, we adapted the income measure based on how this information is typically reported in each country (i.e., median vs </w:t>
      </w:r>
      <w:proofErr w:type="gramStart"/>
      <w:r>
        <w:t>mean</w:t>
      </w:r>
      <w:proofErr w:type="gramEnd"/>
      <w:r>
        <w:t>, annual vs monthly, individual vs household income). Three countries (i.e., Portugal, Russia, and Brazil) created additional response options to account for the severe income inequality among their citizens.</w:t>
      </w:r>
      <w:r>
        <w:rPr>
          <w:b/>
          <w:bCs/>
        </w:rPr>
        <w:t xml:space="preserve"> </w:t>
      </w:r>
      <w:r>
        <w:t>We assessed</w:t>
      </w:r>
      <w:r>
        <w:rPr>
          <w:b/>
          <w:bCs/>
        </w:rPr>
        <w:t xml:space="preserve"> </w:t>
      </w:r>
      <w:r>
        <w:t xml:space="preserve">financial literacy (i.e., knowledge of inflation, interest rates, and savings accounts), with four items adapted from previous studies (Lusardi and Mitchell 2014; van </w:t>
      </w:r>
      <w:proofErr w:type="spellStart"/>
      <w:r>
        <w:t>Rooij</w:t>
      </w:r>
      <w:proofErr w:type="spellEnd"/>
      <w:r>
        <w:t xml:space="preserve">, Lusardi and </w:t>
      </w:r>
      <w:proofErr w:type="spellStart"/>
      <w:r>
        <w:t>Alessie</w:t>
      </w:r>
      <w:proofErr w:type="spellEnd"/>
      <w:r>
        <w:t xml:space="preserve"> 2012; </w:t>
      </w:r>
      <w:proofErr w:type="spellStart"/>
      <w:r>
        <w:t>Skagerlund</w:t>
      </w:r>
      <w:proofErr w:type="spellEnd"/>
      <w:r>
        <w:t xml:space="preserve"> et al. 2018). We assigned the value 1 to each correct response and 0 to each incorrect response. We then summed the number of correct responses to compute an overall score, which ranged from 0 to 4. A higher score indicated a greater degree of financial literacy.</w:t>
      </w:r>
    </w:p>
    <w:p w:rsidR="00750EF6" w:rsidRDefault="00750EF6">
      <w:bookmarkStart w:id="13" w:name="_heading=h.50ags02zbmgf" w:colFirst="0" w:colLast="0"/>
      <w:bookmarkEnd w:id="13"/>
    </w:p>
    <w:p w:rsidR="00750EF6" w:rsidRDefault="002B2CD6">
      <w:bookmarkStart w:id="14" w:name="_heading=h.q87ekrj4uh40" w:colFirst="0" w:colLast="0"/>
      <w:bookmarkEnd w:id="14"/>
      <w:r>
        <w:t xml:space="preserve">Pilot </w:t>
      </w:r>
    </w:p>
    <w:p w:rsidR="00750EF6" w:rsidRDefault="00750EF6"/>
    <w:p w:rsidR="00750EF6" w:rsidRDefault="002B2CD6">
      <w:pPr>
        <w:ind w:firstLine="720"/>
        <w:rPr>
          <w:b/>
          <w:bCs/>
        </w:rPr>
      </w:pPr>
      <w:r>
        <w:lastRenderedPageBreak/>
        <w:t>We shortened all scenarios to reduce the overall length of the survey and to make the materials easier to process. We used a between-subjects design to pre-test the original versus shortened versions of each scenario on 100 participants located in the United States, using Prolific Academic. The results showed that the two versions did not differ statistically (see “Explanation of existing data” on OSF (</w:t>
      </w:r>
      <w:r>
        <w:rPr>
          <w:color w:val="0000FF"/>
          <w:u w:val="single"/>
        </w:rPr>
        <w:t>https://osf.io/u3j9b/?view_only=315ffe29f0b742b99943a943315a53e2</w:t>
      </w:r>
      <w:r>
        <w:t xml:space="preserve">). </w:t>
      </w:r>
    </w:p>
    <w:p w:rsidR="00750EF6" w:rsidRDefault="00750EF6">
      <w:bookmarkStart w:id="15" w:name="_heading=h.spr9vjbv8s0k" w:colFirst="0" w:colLast="0"/>
      <w:bookmarkEnd w:id="15"/>
    </w:p>
    <w:p w:rsidR="00750EF6" w:rsidRDefault="002B2CD6">
      <w:bookmarkStart w:id="16" w:name="_heading=h.ag3yh7rycm73" w:colFirst="0" w:colLast="0"/>
      <w:bookmarkEnd w:id="16"/>
      <w:r>
        <w:t xml:space="preserve">Power and Error </w:t>
      </w:r>
    </w:p>
    <w:p w:rsidR="00750EF6" w:rsidRDefault="00750EF6">
      <w:pPr>
        <w:rPr>
          <w:b/>
          <w:bCs/>
        </w:rPr>
      </w:pPr>
    </w:p>
    <w:p w:rsidR="00750EF6" w:rsidRDefault="002B2CD6">
      <w:pPr>
        <w:ind w:firstLine="720"/>
      </w:pPr>
      <w:r>
        <w:t>We conducted a simulation-based power analysis using the R software and the Stan probabilistic programming language for Bayesian statistical inference. For each scenario, we defined the target effect size as half of the effect size found in the original scenarios to minimize the risk of performing the analyses on inflated effect sizes. We aimed to obtain 0.8 power to detect the target effect size for each scenario with a standard alpha error probability of 0.05. We estimated the power for each sample from 50 to 300 participants in increments of 50 and found that 250 participants per country were needed to achieve 0.8 power in all scenarios.</w:t>
      </w:r>
    </w:p>
    <w:p w:rsidR="00750EF6" w:rsidRDefault="00750EF6">
      <w:pPr>
        <w:rPr>
          <w:b/>
          <w:bCs/>
        </w:rPr>
      </w:pPr>
    </w:p>
    <w:p w:rsidR="00750EF6" w:rsidRDefault="002B2CD6">
      <w:bookmarkStart w:id="17" w:name="_heading=h.k4hyc8wc2oql" w:colFirst="0" w:colLast="0"/>
      <w:bookmarkEnd w:id="17"/>
      <w:r>
        <w:t>Procedure</w:t>
      </w:r>
    </w:p>
    <w:p w:rsidR="00750EF6" w:rsidRDefault="00750EF6">
      <w:pPr>
        <w:rPr>
          <w:b/>
          <w:bCs/>
        </w:rPr>
      </w:pPr>
    </w:p>
    <w:p w:rsidR="00750EF6" w:rsidRDefault="002B2CD6">
      <w:pPr>
        <w:ind w:right="0" w:firstLine="720"/>
      </w:pPr>
      <w:r>
        <w:t xml:space="preserve">We collected data exclusively online from September to October 2022, coordinating the process through a single institutional account. We shared an advertising message inviting participants to complete a short questionnaire on “how people make decisions” via social media </w:t>
      </w:r>
      <w:r>
        <w:lastRenderedPageBreak/>
        <w:t xml:space="preserve">(e.g., country-based platforms and online forums), following the </w:t>
      </w:r>
      <w:proofErr w:type="spellStart"/>
      <w:r>
        <w:t>Demić</w:t>
      </w:r>
      <w:proofErr w:type="spellEnd"/>
      <w:r>
        <w:t>–</w:t>
      </w:r>
      <w:proofErr w:type="spellStart"/>
      <w:r>
        <w:t>Većkalov</w:t>
      </w:r>
      <w:proofErr w:type="spellEnd"/>
      <w:r>
        <w:t xml:space="preserve"> method described in previous large-scale studies (Ruggeri et al. 2020, 2022). We deliberately excluded direct references to mental accounting in the recruitment messages and the informed consent. In cases where the </w:t>
      </w:r>
      <w:proofErr w:type="spellStart"/>
      <w:r>
        <w:t>Demić</w:t>
      </w:r>
      <w:proofErr w:type="spellEnd"/>
      <w:r>
        <w:t>–</w:t>
      </w:r>
      <w:proofErr w:type="spellStart"/>
      <w:r>
        <w:t>Većkalov</w:t>
      </w:r>
      <w:proofErr w:type="spellEnd"/>
      <w:r>
        <w:t xml:space="preserve"> method proved insufficiently effective, we supplemented recruitment with student samples and collaborator networks. This approach has reliably yielded large, heterogeneous samples of independent participants while minimizing recruitment bias in similar large-scale studies (Ruggeri et al. 2020, 2022). Participants could complete the survey in either their local language or English, with both versions adapted to local currency and monetary values (see “Instrument” section). Before starting the survey, they saw an informed consent statement explaining that the study focused on decision-making. Those who did not consent were automatically redirected to the end of the survey, and we did not collect any data from them. Participants who provided consent proceeded to answer 17 questions about the seven scenarios (see “Instrument” section).</w:t>
      </w:r>
    </w:p>
    <w:p w:rsidR="00750EF6" w:rsidRDefault="002B2CD6">
      <w:pPr>
        <w:ind w:right="0" w:firstLine="720"/>
      </w:pPr>
      <w:r>
        <w:t xml:space="preserve">We used block-randomization to present scenarios, ensuring that conditions within each scenario were divided into subgroups and randomized in sequence. In total, three blocks with four scenarios each (presented in a fixed order) and one with five scenarios (presented in a fixed order) were randomized. This approach minimized the consecutive presentation of conditions from the same scenario and was applied across all scenarios with varying conditions (ranging from 2 to 4). We then assessed participants’ financial literacy for exploratory purposes. Before collecting demographic data, we included a self-reported data quality question. At the end of the survey, we debriefed participants by explaining the study’s purpose, the data quality question, and the instruments used. Participants also had the opportunity to withdraw their consent for data usage. We deleted the data of those who withdrew. A copy of the entire survey, an example of </w:t>
      </w:r>
      <w:r>
        <w:lastRenderedPageBreak/>
        <w:t xml:space="preserve">the block randomization (survey flow) and full analysis plan are available on our OSF page </w:t>
      </w:r>
      <w:r>
        <w:rPr>
          <w:color w:val="0000FF"/>
          <w:u w:val="single"/>
        </w:rPr>
        <w:t>(https://osf.io/kgesy/?view_only=55dce1f15b1c465496fc796b5835e55a)</w:t>
      </w:r>
      <w:r>
        <w:t xml:space="preserve">. </w:t>
      </w:r>
    </w:p>
    <w:p w:rsidR="00750EF6" w:rsidRDefault="00750EF6">
      <w:pPr>
        <w:ind w:right="0" w:firstLine="720"/>
      </w:pPr>
    </w:p>
    <w:p w:rsidR="00750EF6" w:rsidRDefault="002B2CD6">
      <w:bookmarkStart w:id="18" w:name="_heading=h.nkbrs99ctuqo" w:colFirst="0" w:colLast="0"/>
      <w:bookmarkEnd w:id="18"/>
      <w:r>
        <w:t>Economic and Social Country Factors</w:t>
      </w:r>
    </w:p>
    <w:p w:rsidR="00750EF6" w:rsidRDefault="00750EF6"/>
    <w:p w:rsidR="00750EF6" w:rsidRDefault="002B2CD6">
      <w:pPr>
        <w:ind w:right="0" w:firstLine="720"/>
      </w:pPr>
      <w:r>
        <w:t xml:space="preserve">After data collection, we retrieved the GDP per capita index and Gini coefficient, Democracy Index, and currency denomination for each country for exploratory purposes. We obtained GDP per capita and Gini coefficient data from the World Bank website </w:t>
      </w:r>
      <w:r>
        <w:rPr>
          <w:color w:val="0000FF"/>
          <w:u w:val="single"/>
        </w:rPr>
        <w:t>(</w:t>
      </w:r>
      <w:hyperlink r:id="rId9">
        <w:r>
          <w:rPr>
            <w:color w:val="1155CC"/>
            <w:u w:val="single"/>
          </w:rPr>
          <w:t>https://data.worldbank.org/</w:t>
        </w:r>
      </w:hyperlink>
      <w:r>
        <w:rPr>
          <w:color w:val="0000FF"/>
          <w:u w:val="single"/>
        </w:rPr>
        <w:t xml:space="preserve">) </w:t>
      </w:r>
      <w:r>
        <w:t>(“World Bank Open Data”), where GDP per capita represents a country’s total economic output divided by its midyear population (see Section 4.3 in web appendix) and Gini coefficient represents income inequality within a country (values ranging from 0 = perfect equality to 100 = perfect inequality).</w:t>
      </w:r>
    </w:p>
    <w:p w:rsidR="00750EF6" w:rsidRDefault="002B2CD6">
      <w:pPr>
        <w:ind w:right="0" w:firstLine="720"/>
      </w:pPr>
      <w:r>
        <w:t>The Democracy Index quantifies the state of democracy across countries, categorizing them into four regime types based on their scores. It is calculated on a 0–10 scale using multiple qualitative and quantitative indicators. The four regime types are full democracy (score &gt; 8), flawed democracy (8 &gt; score &gt; 6.01), hybrid regime (6 &gt; score &gt; 4.01), and authoritarian regime (score &lt; 4; Economist Intelligence Unit, 2024).</w:t>
      </w:r>
    </w:p>
    <w:p w:rsidR="00750EF6" w:rsidRDefault="002B2CD6">
      <w:pPr>
        <w:ind w:right="0" w:firstLine="720"/>
      </w:pPr>
      <w:r>
        <w:t>To measure currency denomination, we used its exchange rate against US$1, indicating how many units of the local currency equaled US$1. We extracted exchange rates from October 1st, 2022, aligning with the data collection period.</w:t>
      </w:r>
    </w:p>
    <w:p w:rsidR="00750EF6" w:rsidRDefault="00750EF6"/>
    <w:p w:rsidR="00750EF6" w:rsidRDefault="002B2CD6">
      <w:pPr>
        <w:jc w:val="center"/>
        <w:rPr>
          <w:b/>
          <w:bCs/>
        </w:rPr>
      </w:pPr>
      <w:bookmarkStart w:id="19" w:name="_heading=h.m9r80v70z24u" w:colFirst="0" w:colLast="0"/>
      <w:bookmarkEnd w:id="19"/>
      <w:r>
        <w:rPr>
          <w:b/>
          <w:bCs/>
        </w:rPr>
        <w:t>RESULTS</w:t>
      </w:r>
    </w:p>
    <w:p w:rsidR="00750EF6" w:rsidRDefault="00750EF6">
      <w:pPr>
        <w:rPr>
          <w:b/>
          <w:bCs/>
          <w:smallCaps/>
          <w:color w:val="000000"/>
        </w:rPr>
      </w:pPr>
    </w:p>
    <w:p w:rsidR="00750EF6" w:rsidRDefault="002B2CD6">
      <w:pPr>
        <w:ind w:firstLine="720"/>
      </w:pPr>
      <w:r>
        <w:rPr>
          <w:color w:val="000000"/>
        </w:rPr>
        <w:lastRenderedPageBreak/>
        <w:t>Our results of</w:t>
      </w:r>
      <w:r>
        <w:t xml:space="preserve">fer three key contributions (see table 2). First, we </w:t>
      </w:r>
      <w:r>
        <w:rPr>
          <w:color w:val="000000"/>
        </w:rPr>
        <w:t xml:space="preserve">confirmed that mental accounting is broadly replicable across various countries, although the </w:t>
      </w:r>
      <w:r>
        <w:t>effect</w:t>
      </w:r>
      <w:r>
        <w:rPr>
          <w:color w:val="000000"/>
        </w:rPr>
        <w:t xml:space="preserve"> s</w:t>
      </w:r>
      <w:r>
        <w:t xml:space="preserve">izes </w:t>
      </w:r>
      <w:r>
        <w:rPr>
          <w:color w:val="000000"/>
        </w:rPr>
        <w:t xml:space="preserve">were generally smaller than those in the original </w:t>
      </w:r>
      <w:r>
        <w:t>scenarios</w:t>
      </w:r>
      <w:r>
        <w:rPr>
          <w:color w:val="000000"/>
        </w:rPr>
        <w:t xml:space="preserve">. </w:t>
      </w:r>
      <w:r>
        <w:t>Second,</w:t>
      </w:r>
      <w:r>
        <w:rPr>
          <w:color w:val="000000"/>
        </w:rPr>
        <w:t xml:space="preserve"> w</w:t>
      </w:r>
      <w:r>
        <w:t>e demonstrated that</w:t>
      </w:r>
      <w:r>
        <w:rPr>
          <w:color w:val="000000"/>
        </w:rPr>
        <w:t xml:space="preserve"> several v</w:t>
      </w:r>
      <w:r>
        <w:t xml:space="preserve">ariables did not significantly account for variations in mental accounting. These included </w:t>
      </w:r>
      <w:r>
        <w:rPr>
          <w:color w:val="000000"/>
        </w:rPr>
        <w:t>individual differences such as age, education, income</w:t>
      </w:r>
      <w:r>
        <w:t xml:space="preserve"> (measured as ordinal brackets relative to each country's median, reflecting participants' relative position within their own country's income distribution)</w:t>
      </w:r>
      <w:r>
        <w:rPr>
          <w:color w:val="000000"/>
        </w:rPr>
        <w:t>, financial literacy</w:t>
      </w:r>
      <w:r>
        <w:t>,</w:t>
      </w:r>
      <w:r>
        <w:rPr>
          <w:color w:val="000000"/>
        </w:rPr>
        <w:t xml:space="preserve"> and count</w:t>
      </w:r>
      <w:r>
        <w:t>ry-level characteristics (i.e., currency denomination, democracy, and inequality levels)</w:t>
      </w:r>
      <w:r>
        <w:rPr>
          <w:color w:val="000000"/>
        </w:rPr>
        <w:t>. Convers</w:t>
      </w:r>
      <w:r>
        <w:t xml:space="preserve">ely, exploratory analyses showed that a </w:t>
      </w:r>
      <w:r>
        <w:rPr>
          <w:color w:val="000000"/>
        </w:rPr>
        <w:t>higher GDP per capita was</w:t>
      </w:r>
      <w:r>
        <w:t xml:space="preserve"> </w:t>
      </w:r>
      <w:r>
        <w:rPr>
          <w:color w:val="000000"/>
        </w:rPr>
        <w:t>associated with stronger mental accounting effects, up</w:t>
      </w:r>
      <w:r>
        <w:t xml:space="preserve"> to approximately $50,000</w:t>
      </w:r>
      <w:r>
        <w:rPr>
          <w:color w:val="000000"/>
        </w:rPr>
        <w:t>.</w:t>
      </w:r>
    </w:p>
    <w:p w:rsidR="00750EF6" w:rsidRDefault="002B2CD6">
      <w:pPr>
        <w:ind w:firstLine="720"/>
      </w:pPr>
      <w:r>
        <w:t>Third, further exploratory analyses suggest that mental accounting manifests differently depending on the nature of the decision context. Specifically, scenarios seem to vary consistently along three characteristics: whether the decision involves others or is made individually (social context), whether individuals are making choices for themselves or evaluating outcomes for others (decision perspective), and whether they are actively setting prices or responding to predetermined ones (role in price determination). This heterogeneity in how mental accounting operates across financial decisions offers new insight into the driving psychological mechanisms.</w:t>
      </w:r>
    </w:p>
    <w:p w:rsidR="00750EF6" w:rsidRDefault="00750EF6"/>
    <w:p w:rsidR="00750EF6" w:rsidRDefault="002B2CD6">
      <w:bookmarkStart w:id="20" w:name="_heading=h.n48ai6aur46u" w:colFirst="0" w:colLast="0"/>
      <w:bookmarkEnd w:id="20"/>
      <w:r>
        <w:t>Mental Accounting Widely Replicates</w:t>
      </w:r>
    </w:p>
    <w:p w:rsidR="00750EF6" w:rsidRDefault="00750EF6"/>
    <w:p w:rsidR="00750EF6" w:rsidRDefault="002B2CD6">
      <w:pPr>
        <w:ind w:firstLine="720"/>
      </w:pPr>
      <w:r>
        <w:rPr>
          <w:color w:val="000000"/>
        </w:rPr>
        <w:t xml:space="preserve">The primary pre-registered aim of this work was to test the replicability of seven </w:t>
      </w:r>
      <w:r>
        <w:t>foundational</w:t>
      </w:r>
      <w:r>
        <w:rPr>
          <w:color w:val="000000"/>
        </w:rPr>
        <w:t xml:space="preserve"> </w:t>
      </w:r>
      <w:r>
        <w:t>scenarios</w:t>
      </w:r>
      <w:r>
        <w:rPr>
          <w:color w:val="000000"/>
        </w:rPr>
        <w:t xml:space="preserve"> o</w:t>
      </w:r>
      <w:r>
        <w:t>f</w:t>
      </w:r>
      <w:r>
        <w:rPr>
          <w:color w:val="000000"/>
        </w:rPr>
        <w:t xml:space="preserve"> mental accounting using a large and diverse sample. </w:t>
      </w:r>
      <w:r>
        <w:t xml:space="preserve">We </w:t>
      </w:r>
      <w:r>
        <w:lastRenderedPageBreak/>
        <w:t>consistently replicated all the included scenarios, with only slightly lower effect sizes compared to the original studies, thus demonstrating that mental accounting is a robust phenomenon that generalizes across time and cultures.</w:t>
      </w:r>
      <w:r>
        <w:rPr>
          <w:color w:val="000000"/>
        </w:rPr>
        <w:t xml:space="preserve"> </w:t>
      </w:r>
      <w:r>
        <w:t xml:space="preserve">We consider as replication any effect that aligns with the direction reported in the original scenario and with a 95% statistical credibility (i.e., there is 95% statistical confidence that the effect exists and goes in the same direction as originally reported). </w:t>
      </w:r>
    </w:p>
    <w:p w:rsidR="00750EF6" w:rsidRDefault="002B2CD6">
      <w:pPr>
        <w:ind w:firstLine="720"/>
      </w:pPr>
      <w:r>
        <w:t xml:space="preserve">We found an overall replication of 90.5% (133 out of 147), where </w:t>
      </w:r>
      <w:proofErr w:type="spellStart"/>
      <w:r>
        <w:t>MrAB</w:t>
      </w:r>
      <w:proofErr w:type="spellEnd"/>
      <w:r>
        <w:t xml:space="preserve"> and Game achieved a 100% (21/21) replication rate, Drink 95% (20/21), Jacket 81% (17/21), Play 71% (15/21), Gym 90% (19/21), and Plane 95% (20/21). To produce these findings, we calculated effect sizes for each scenario using a fixed-effect Bayesian regression approach (figure 1 and table 2 in web appendix), setting weakly informative priors for all regression coefficients (normal distribution with mean = 0 and standard deviation = 2.5). This prior choice reflects our assumption that very large effects are unlikely, while remaining sufficiently wide to allow the data to dominate the inference.</w:t>
      </w:r>
    </w:p>
    <w:p w:rsidR="00750EF6" w:rsidRDefault="002B2CD6">
      <w:pPr>
        <w:ind w:firstLine="720"/>
      </w:pPr>
      <w:r>
        <w:t xml:space="preserve">For the </w:t>
      </w:r>
      <w:proofErr w:type="spellStart"/>
      <w:r>
        <w:t>MrAB</w:t>
      </w:r>
      <w:proofErr w:type="spellEnd"/>
      <w:r>
        <w:t xml:space="preserve"> scenario, we analyzed participants’ responses to scenarios involving gains (MrAB1 and MrAB3) and losses (MrAB2 and MrAB4) separately. According to mental accounting theory, when experiencing multiple monetary events, consumers should prefer experiencing gains separately (e.g., winning $50 and $25 in two different lotteries rather than winning $75 in one lottery), but prefer experiencing losses together (e.g., receiving one fine of $150 rather than two separate fines of $100 and $50). They should also prefer a smaller gain to a larger one that is reduced by a separate loss (e.g., receiving $20 rather than receiving $100 and lose $80) but prefer a loss that is reduced by a separate gain than a smaller loss (e.g., spending $200 but receiving $25 rather than spending $175). To </w:t>
      </w:r>
      <w:r>
        <w:lastRenderedPageBreak/>
        <w:t xml:space="preserve">quantify these effects, we coded each participant's pair of responses within each condition group as a single binary variable: 1 if the participant gave the combination predicted by mental accounting theory (e.g., for gains: choosing </w:t>
      </w:r>
      <w:proofErr w:type="spellStart"/>
      <w:r>
        <w:t>MrA</w:t>
      </w:r>
      <w:proofErr w:type="spellEnd"/>
      <w:r>
        <w:t xml:space="preserve"> in MrAB1 and </w:t>
      </w:r>
      <w:proofErr w:type="spellStart"/>
      <w:r>
        <w:t>MrB</w:t>
      </w:r>
      <w:proofErr w:type="spellEnd"/>
      <w:r>
        <w:t xml:space="preserve"> in MrAB3), and 0 otherwise. Since each sub-scenario has three possible responses (</w:t>
      </w:r>
      <w:proofErr w:type="spellStart"/>
      <w:r>
        <w:t>MrA</w:t>
      </w:r>
      <w:proofErr w:type="spellEnd"/>
      <w:r>
        <w:t xml:space="preserve">, </w:t>
      </w:r>
      <w:proofErr w:type="spellStart"/>
      <w:r>
        <w:t>MrB</w:t>
      </w:r>
      <w:proofErr w:type="spellEnd"/>
      <w:r>
        <w:t>, or no difference), there are nine possible combinations per condition group, and the probability of the predicted combination under chance responding is 1/9. We then estimated the proportion of participants showing the predicted pattern for each country using a Bayesian binomial regression model and computed an evidence ratio comparing the observed proportion to this chance baseline (see Appendix, Section 4.2 for the full formulation). Gains and losses are analyzed separately because they test distinct theoretical predictions: the segregation of gains versus the integration of losses</w:t>
      </w:r>
    </w:p>
    <w:p w:rsidR="00750EF6" w:rsidRDefault="002B2CD6">
      <w:pPr>
        <w:ind w:firstLine="720"/>
      </w:pPr>
      <w:r>
        <w:t xml:space="preserve">For the Drink and Gym scenarios, which involved continuous responses rather than categorical choices, we used Bayesian linear regression models to quantify the mental accounting effects. In the Drink scenario, mental accounting theory predicts that people will find it more acceptable to pay higher prices in upscale contexts compared to modest ones. To quantify it, we used a Bayesian linear regression model predicting the logarithm of prices from the store type (fancy resort hotel vs run-down grocery store), while accounting for country-specific variations in both baseline prices and the effect of store type. Similarly, for the Gym scenario, the theory predicts that people perceive wasting money differently depending on how payments are framed. To test this, we predicted participants’ ratings about wasting money from the payment frame (per-session versus yearly membership), while accounting for country-specific variations in both baseline ratings and the effect of the payment frame. </w:t>
      </w:r>
    </w:p>
    <w:p w:rsidR="00750EF6" w:rsidRDefault="002B2CD6">
      <w:pPr>
        <w:ind w:firstLine="720"/>
      </w:pPr>
      <w:r>
        <w:lastRenderedPageBreak/>
        <w:t>For the remaining scenarios (Game, Jacket, Play, and Plane), which involved binary choices, we calculated effect sizes using Bayesian binomial regression models. In the Game scenario, mental accounting theory predicts that people set different prices for a sports ticket based on their relationship with the buyer (friend vs stranger) and the ticket’s acquisition context. To quantify this, we modeled the probability that participants would set a price equal to or above market value as a function of buyer type while accounting for country-specific variations. In the Jacket scenario, the theory predicts that people’s willingness to make an extra trip to save money depends on the relative rather than the absolute price difference. To test this, we modeled the probability of making the trip to another store as a function of the price magnitude (high vs low), while accounting for country-specific variations. In the Play scenario, the theory predicts that people make different decisions about attending an event depending on whether they previously lost the ticket or an equivalent amount of cash. To examine this, we modeled the probability of paying $40 as a function of the loss type (cash vs ticket), while accounting for country-specific variations. Finally, for the Plane scenario, the theory predicts that people’s willingness to pay for an upgrade coupon depends on how the coupon was acquired. To test this, we modeled the probability that participants would choose to pay their friend $35 as a function of the coupon type (purchased vs free), while accounting for country-specific variations.</w:t>
      </w:r>
    </w:p>
    <w:p w:rsidR="00750EF6" w:rsidRDefault="002B2CD6">
      <w:pPr>
        <w:ind w:firstLine="720"/>
        <w:rPr>
          <w:b/>
          <w:bCs/>
          <w:color w:val="000000"/>
        </w:rPr>
      </w:pPr>
      <w:r>
        <w:t xml:space="preserve">To complement </w:t>
      </w:r>
      <w:proofErr w:type="spellStart"/>
      <w:r>
        <w:t>unpooled</w:t>
      </w:r>
      <w:proofErr w:type="spellEnd"/>
      <w:r>
        <w:t xml:space="preserve"> analyses, we performed a hierarchical Bayesian meta-analysis to pool data across countries while accounting for country-specific variations. This approach allows us to draw more generalizable conclusions about mental accounting effects while still preserving information about country-level differences. For each scenario, we fitted the Bayesian model to the observed effect size and standard error of each country and </w:t>
      </w:r>
      <w:r>
        <w:lastRenderedPageBreak/>
        <w:t>found a 100% (7/7 scenarios) replication rate (see figure 1 and table 3; see Section 4 in web appendix for the analysis plan). Again, we used weakly informative priors for all regression coefficients (normal distribution with mean = 0 and standard deviation = 2.5). For all the scenarios where we could compare the effect sizes, we found a smaller effect than in the original scenarios. This finding aligns with other replication efforts (Open Science Collaboration 2015) and suggests that the use of smaller sample sizes and student samples in the original scenarios might have resulted in inflated estimates of effect size. In addition, the smaller effect sizes may reflect the fact that we included lower GDP-per-capita countries in the sample.</w:t>
      </w:r>
    </w:p>
    <w:p w:rsidR="00750EF6" w:rsidRDefault="002B2CD6">
      <w:pPr>
        <w:jc w:val="center"/>
        <w:rPr>
          <w:b/>
          <w:bCs/>
          <w:color w:val="000000"/>
        </w:rPr>
      </w:pPr>
      <w:r>
        <w:rPr>
          <w:b/>
          <w:bCs/>
          <w:color w:val="000000"/>
        </w:rPr>
        <w:t>FIGURE 1</w:t>
      </w:r>
    </w:p>
    <w:p w:rsidR="00750EF6" w:rsidRDefault="002B2CD6">
      <w:pPr>
        <w:jc w:val="center"/>
        <w:rPr>
          <w:smallCaps/>
          <w:color w:val="000000"/>
        </w:rPr>
      </w:pPr>
      <w:r>
        <w:rPr>
          <w:smallCaps/>
          <w:color w:val="000000"/>
        </w:rPr>
        <w:t>HIERARCHICAL BAYESIAN META-ANALYSIS</w:t>
      </w:r>
    </w:p>
    <w:p w:rsidR="00750EF6" w:rsidRDefault="00750EF6">
      <w:pPr>
        <w:rPr>
          <w:smallCaps/>
          <w:color w:val="000000"/>
        </w:rPr>
      </w:pPr>
    </w:p>
    <w:p w:rsidR="00750EF6" w:rsidRDefault="002B2CD6">
      <w:pPr>
        <w:rPr>
          <w:color w:val="000000"/>
        </w:rPr>
      </w:pPr>
      <w:r>
        <w:rPr>
          <w:noProof/>
        </w:rPr>
        <w:drawing>
          <wp:inline distT="0" distB="0" distL="0" distR="0">
            <wp:extent cx="5486400" cy="2420620"/>
            <wp:effectExtent l="0" t="0" r="0" b="0"/>
            <wp:docPr id="18362367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169" b="166"/>
                    <a:stretch>
                      <a:fillRect/>
                    </a:stretch>
                  </pic:blipFill>
                  <pic:spPr>
                    <a:xfrm>
                      <a:off x="0" y="0"/>
                      <a:ext cx="5486400" cy="2420620"/>
                    </a:xfrm>
                    <a:prstGeom prst="rect">
                      <a:avLst/>
                    </a:prstGeom>
                    <a:ln/>
                  </pic:spPr>
                </pic:pic>
              </a:graphicData>
            </a:graphic>
          </wp:inline>
        </w:drawing>
      </w:r>
    </w:p>
    <w:p w:rsidR="00750EF6" w:rsidRDefault="002B2CD6">
      <w:pPr>
        <w:rPr>
          <w:color w:val="000000"/>
        </w:rPr>
      </w:pPr>
      <w:r>
        <w:rPr>
          <w:color w:val="000000"/>
        </w:rPr>
        <w:t xml:space="preserve">NOTE. Comparisons between the effects reported by the original </w:t>
      </w:r>
      <w:r>
        <w:t>scenarios</w:t>
      </w:r>
      <w:r>
        <w:rPr>
          <w:color w:val="000000"/>
        </w:rPr>
        <w:t xml:space="preserve"> (purple horizontal bars) and the current sample (green circles). We could not calculate the effect size of the original </w:t>
      </w:r>
      <w:proofErr w:type="spellStart"/>
      <w:r>
        <w:rPr>
          <w:color w:val="000000"/>
        </w:rPr>
        <w:t>MrAB</w:t>
      </w:r>
      <w:proofErr w:type="spellEnd"/>
      <w:r>
        <w:rPr>
          <w:color w:val="000000"/>
        </w:rPr>
        <w:t xml:space="preserve">, Drink, and Gym </w:t>
      </w:r>
      <w:r>
        <w:t>scenarios</w:t>
      </w:r>
      <w:r>
        <w:rPr>
          <w:color w:val="000000"/>
        </w:rPr>
        <w:t xml:space="preserve"> as the information provided in the </w:t>
      </w:r>
      <w:r>
        <w:t>original</w:t>
      </w:r>
      <w:r>
        <w:rPr>
          <w:color w:val="000000"/>
        </w:rPr>
        <w:t xml:space="preserve"> </w:t>
      </w:r>
      <w:r>
        <w:lastRenderedPageBreak/>
        <w:t>papers</w:t>
      </w:r>
      <w:r>
        <w:rPr>
          <w:color w:val="000000"/>
        </w:rPr>
        <w:t xml:space="preserve"> was limited. Each </w:t>
      </w:r>
      <w:r>
        <w:t>gray</w:t>
      </w:r>
      <w:r>
        <w:rPr>
          <w:color w:val="000000"/>
        </w:rPr>
        <w:t xml:space="preserve"> dot represents one country (random effect), </w:t>
      </w:r>
      <w:r>
        <w:t>while</w:t>
      </w:r>
      <w:r>
        <w:rPr>
          <w:color w:val="000000"/>
        </w:rPr>
        <w:t xml:space="preserve"> the green dots and purple bars indicate the mean pooled effect and its 95% CIs</w:t>
      </w:r>
      <w:r>
        <w:t>.</w:t>
      </w:r>
    </w:p>
    <w:p w:rsidR="00750EF6" w:rsidRDefault="00750EF6">
      <w:pPr>
        <w:rPr>
          <w:color w:val="000000"/>
        </w:rPr>
      </w:pPr>
    </w:p>
    <w:p w:rsidR="00750EF6" w:rsidRDefault="002B2CD6">
      <w:pPr>
        <w:jc w:val="center"/>
        <w:rPr>
          <w:b/>
          <w:bCs/>
          <w:color w:val="000000"/>
        </w:rPr>
      </w:pPr>
      <w:r>
        <w:rPr>
          <w:b/>
          <w:bCs/>
          <w:color w:val="000000"/>
        </w:rPr>
        <w:t xml:space="preserve">TABLE </w:t>
      </w:r>
      <w:r>
        <w:rPr>
          <w:b/>
          <w:bCs/>
        </w:rPr>
        <w:t>3</w:t>
      </w:r>
    </w:p>
    <w:p w:rsidR="00750EF6" w:rsidRDefault="002B2CD6">
      <w:pPr>
        <w:jc w:val="center"/>
        <w:rPr>
          <w:smallCaps/>
          <w:color w:val="000000"/>
        </w:rPr>
      </w:pPr>
      <w:r>
        <w:rPr>
          <w:smallCaps/>
          <w:color w:val="000000"/>
        </w:rPr>
        <w:t>HIERARCHICAL BAYESIAN META-ANALYSIS</w:t>
      </w:r>
    </w:p>
    <w:tbl>
      <w:tblPr>
        <w:tblStyle w:val="afc"/>
        <w:tblW w:w="9360" w:type="dxa"/>
        <w:jc w:val="center"/>
        <w:tblLayout w:type="fixed"/>
        <w:tblLook w:val="0400" w:firstRow="0" w:lastRow="0" w:firstColumn="0" w:lastColumn="0" w:noHBand="0" w:noVBand="1"/>
      </w:tblPr>
      <w:tblGrid>
        <w:gridCol w:w="2340"/>
        <w:gridCol w:w="2340"/>
        <w:gridCol w:w="2340"/>
        <w:gridCol w:w="2340"/>
      </w:tblGrid>
      <w:tr w:rsidR="00750EF6">
        <w:trPr>
          <w:trHeight w:val="258"/>
          <w:tblHeader/>
          <w:jc w:val="center"/>
        </w:trPr>
        <w:tc>
          <w:tcPr>
            <w:tcW w:w="234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vAlign w:val="center"/>
          </w:tcPr>
          <w:p w:rsidR="00750EF6" w:rsidRDefault="00750EF6"/>
        </w:tc>
        <w:tc>
          <w:tcPr>
            <w:tcW w:w="234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vAlign w:val="center"/>
          </w:tcPr>
          <w:p w:rsidR="00750EF6" w:rsidRDefault="002B2CD6">
            <w:r>
              <w:rPr>
                <w:color w:val="000000"/>
              </w:rPr>
              <w:t>Estimate</w:t>
            </w:r>
          </w:p>
        </w:tc>
        <w:tc>
          <w:tcPr>
            <w:tcW w:w="234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vAlign w:val="center"/>
          </w:tcPr>
          <w:p w:rsidR="00750EF6" w:rsidRDefault="002B2CD6">
            <w:r>
              <w:rPr>
                <w:color w:val="000000"/>
              </w:rPr>
              <w:t>CIs (95%)</w:t>
            </w:r>
          </w:p>
        </w:tc>
        <w:tc>
          <w:tcPr>
            <w:tcW w:w="2340" w:type="dxa"/>
            <w:tcBorders>
              <w:top w:val="single" w:sz="6" w:space="0" w:color="000000"/>
              <w:left w:val="nil"/>
              <w:bottom w:val="single" w:sz="6" w:space="0" w:color="000000"/>
              <w:right w:val="nil"/>
            </w:tcBorders>
            <w:shd w:val="clear" w:color="auto" w:fill="FFFFFF"/>
            <w:tcMar>
              <w:top w:w="0" w:type="dxa"/>
              <w:left w:w="0" w:type="dxa"/>
              <w:bottom w:w="0" w:type="dxa"/>
              <w:right w:w="0" w:type="dxa"/>
            </w:tcMar>
            <w:vAlign w:val="center"/>
          </w:tcPr>
          <w:p w:rsidR="00750EF6" w:rsidRDefault="002B2CD6">
            <w:r>
              <w:rPr>
                <w:color w:val="000000"/>
              </w:rPr>
              <w:t>log₁₀(BF)</w:t>
            </w:r>
          </w:p>
        </w:tc>
      </w:tr>
      <w:tr w:rsidR="00750EF6">
        <w:trPr>
          <w:trHeight w:val="258"/>
          <w:jc w:val="center"/>
        </w:trPr>
        <w:tc>
          <w:tcPr>
            <w:tcW w:w="2340" w:type="dxa"/>
            <w:tcBorders>
              <w:top w:val="single" w:sz="6" w:space="0" w:color="000000"/>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MrAB1</w:t>
            </w:r>
          </w:p>
        </w:tc>
        <w:tc>
          <w:tcPr>
            <w:tcW w:w="2340" w:type="dxa"/>
            <w:tcBorders>
              <w:top w:val="single" w:sz="6" w:space="0" w:color="000000"/>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1.48</w:t>
            </w:r>
          </w:p>
        </w:tc>
        <w:tc>
          <w:tcPr>
            <w:tcW w:w="2340" w:type="dxa"/>
            <w:tcBorders>
              <w:top w:val="single" w:sz="6" w:space="0" w:color="000000"/>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1.31 - 1.65</w:t>
            </w:r>
          </w:p>
        </w:tc>
        <w:tc>
          <w:tcPr>
            <w:tcW w:w="2340" w:type="dxa"/>
            <w:tcBorders>
              <w:top w:val="single" w:sz="6" w:space="0" w:color="000000"/>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13.24</w:t>
            </w:r>
          </w:p>
        </w:tc>
      </w:tr>
      <w:tr w:rsidR="00750EF6">
        <w:trPr>
          <w:trHeight w:val="258"/>
          <w:jc w:val="center"/>
        </w:trPr>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MrAB2</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2.13</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1.99 - 2.27</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31.67</w:t>
            </w:r>
          </w:p>
        </w:tc>
      </w:tr>
      <w:tr w:rsidR="00750EF6">
        <w:trPr>
          <w:trHeight w:val="258"/>
          <w:jc w:val="center"/>
        </w:trPr>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Game</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1.</w:t>
            </w:r>
            <w:r>
              <w:t>78</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1.</w:t>
            </w:r>
            <w:r>
              <w:t>54</w:t>
            </w:r>
            <w:r>
              <w:rPr>
                <w:color w:val="000000"/>
              </w:rPr>
              <w:t xml:space="preserve"> - 2.</w:t>
            </w:r>
            <w:r>
              <w:t>01</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t>9</w:t>
            </w:r>
            <w:r>
              <w:rPr>
                <w:color w:val="000000"/>
              </w:rPr>
              <w:t>.</w:t>
            </w:r>
            <w:r>
              <w:t>44</w:t>
            </w:r>
          </w:p>
        </w:tc>
      </w:tr>
      <w:tr w:rsidR="00750EF6">
        <w:trPr>
          <w:trHeight w:val="253"/>
          <w:jc w:val="center"/>
        </w:trPr>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Drink</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0.76</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0.66 - 0.86</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10.63</w:t>
            </w:r>
          </w:p>
        </w:tc>
      </w:tr>
      <w:tr w:rsidR="00750EF6">
        <w:trPr>
          <w:trHeight w:val="258"/>
          <w:jc w:val="center"/>
        </w:trPr>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Jacket</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0.53</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0.42 - 0.63</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7.96</w:t>
            </w:r>
          </w:p>
        </w:tc>
      </w:tr>
      <w:tr w:rsidR="00750EF6">
        <w:trPr>
          <w:trHeight w:val="258"/>
          <w:jc w:val="center"/>
        </w:trPr>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Play</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0.58</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0.41 - 0.75</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4.54</w:t>
            </w:r>
          </w:p>
        </w:tc>
      </w:tr>
      <w:tr w:rsidR="00750EF6">
        <w:trPr>
          <w:trHeight w:val="258"/>
          <w:jc w:val="center"/>
        </w:trPr>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Gym</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0.72</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0.50 - 0.94</w:t>
            </w:r>
          </w:p>
        </w:tc>
        <w:tc>
          <w:tcPr>
            <w:tcW w:w="2340"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4.56</w:t>
            </w:r>
          </w:p>
        </w:tc>
      </w:tr>
      <w:tr w:rsidR="00750EF6">
        <w:trPr>
          <w:trHeight w:val="258"/>
          <w:jc w:val="center"/>
        </w:trPr>
        <w:tc>
          <w:tcPr>
            <w:tcW w:w="2340" w:type="dxa"/>
            <w:tcBorders>
              <w:top w:val="nil"/>
              <w:left w:val="nil"/>
              <w:bottom w:val="single" w:sz="6" w:space="0" w:color="000000"/>
              <w:right w:val="nil"/>
            </w:tcBorders>
            <w:shd w:val="clear" w:color="auto" w:fill="FFFFFF"/>
            <w:tcMar>
              <w:top w:w="0" w:type="dxa"/>
              <w:left w:w="0" w:type="dxa"/>
              <w:bottom w:w="0" w:type="dxa"/>
              <w:right w:w="0" w:type="dxa"/>
            </w:tcMar>
            <w:vAlign w:val="center"/>
          </w:tcPr>
          <w:p w:rsidR="00750EF6" w:rsidRDefault="002B2CD6">
            <w:r>
              <w:rPr>
                <w:color w:val="000000"/>
              </w:rPr>
              <w:t>Plane</w:t>
            </w:r>
          </w:p>
        </w:tc>
        <w:tc>
          <w:tcPr>
            <w:tcW w:w="2340" w:type="dxa"/>
            <w:tcBorders>
              <w:top w:val="nil"/>
              <w:left w:val="nil"/>
              <w:bottom w:val="single" w:sz="6" w:space="0" w:color="000000"/>
              <w:right w:val="nil"/>
            </w:tcBorders>
            <w:shd w:val="clear" w:color="auto" w:fill="FFFFFF"/>
            <w:tcMar>
              <w:top w:w="0" w:type="dxa"/>
              <w:left w:w="0" w:type="dxa"/>
              <w:bottom w:w="0" w:type="dxa"/>
              <w:right w:w="0" w:type="dxa"/>
            </w:tcMar>
            <w:vAlign w:val="center"/>
          </w:tcPr>
          <w:p w:rsidR="00750EF6" w:rsidRDefault="002B2CD6">
            <w:r>
              <w:rPr>
                <w:color w:val="000000"/>
              </w:rPr>
              <w:t>0.82</w:t>
            </w:r>
          </w:p>
        </w:tc>
        <w:tc>
          <w:tcPr>
            <w:tcW w:w="2340" w:type="dxa"/>
            <w:tcBorders>
              <w:top w:val="nil"/>
              <w:left w:val="nil"/>
              <w:bottom w:val="single" w:sz="6" w:space="0" w:color="000000"/>
              <w:right w:val="nil"/>
            </w:tcBorders>
            <w:shd w:val="clear" w:color="auto" w:fill="FFFFFF"/>
            <w:tcMar>
              <w:top w:w="0" w:type="dxa"/>
              <w:left w:w="0" w:type="dxa"/>
              <w:bottom w:w="0" w:type="dxa"/>
              <w:right w:w="0" w:type="dxa"/>
            </w:tcMar>
            <w:vAlign w:val="center"/>
          </w:tcPr>
          <w:p w:rsidR="00750EF6" w:rsidRDefault="002B2CD6">
            <w:r>
              <w:rPr>
                <w:color w:val="000000"/>
              </w:rPr>
              <w:t>0.69 - 0.95</w:t>
            </w:r>
          </w:p>
        </w:tc>
        <w:tc>
          <w:tcPr>
            <w:tcW w:w="2340" w:type="dxa"/>
            <w:tcBorders>
              <w:top w:val="nil"/>
              <w:left w:val="nil"/>
              <w:bottom w:val="single" w:sz="6" w:space="0" w:color="000000"/>
              <w:right w:val="nil"/>
            </w:tcBorders>
            <w:shd w:val="clear" w:color="auto" w:fill="FFFFFF"/>
            <w:tcMar>
              <w:top w:w="0" w:type="dxa"/>
              <w:left w:w="0" w:type="dxa"/>
              <w:bottom w:w="0" w:type="dxa"/>
              <w:right w:w="0" w:type="dxa"/>
            </w:tcMar>
            <w:vAlign w:val="center"/>
          </w:tcPr>
          <w:p w:rsidR="00750EF6" w:rsidRDefault="002B2CD6">
            <w:r>
              <w:rPr>
                <w:color w:val="000000"/>
              </w:rPr>
              <w:t>11.63</w:t>
            </w:r>
          </w:p>
        </w:tc>
      </w:tr>
    </w:tbl>
    <w:p w:rsidR="00750EF6" w:rsidRDefault="002B2CD6">
      <w:pPr>
        <w:rPr>
          <w:color w:val="000000"/>
        </w:rPr>
      </w:pPr>
      <w:r>
        <w:t xml:space="preserve">NOTE. The estimate corresponds to the log odd-ratio for the scenarios Game, Jacket, Play, and Plane, all of which have a binary dependent. For the </w:t>
      </w:r>
      <w:proofErr w:type="spellStart"/>
      <w:r>
        <w:t>MrAB</w:t>
      </w:r>
      <w:proofErr w:type="spellEnd"/>
      <w:r>
        <w:t xml:space="preserve"> scenario, we estimated the Evidence Ratio, and for the Drink and Gym scenarios, we estimated the standardized mean difference (Cohen's d). This table reports the estimate, CI, and log</w:t>
      </w:r>
      <w:r>
        <w:rPr>
          <w:vertAlign w:val="subscript"/>
        </w:rPr>
        <w:t>10</w:t>
      </w:r>
      <w:r>
        <w:t>(BF) values corresponding to the green dots shown in figure 1.</w:t>
      </w:r>
    </w:p>
    <w:p w:rsidR="00750EF6" w:rsidRDefault="00750EF6"/>
    <w:p w:rsidR="00750EF6" w:rsidRDefault="002B2CD6">
      <w:pPr>
        <w:ind w:firstLine="720"/>
      </w:pPr>
      <w:r>
        <w:t xml:space="preserve">While our survey utilized a within-subjects design for all scenarios, some of the original scenarios (Jacket, Play, and Plane) employed a between-subjects design. To exclude the possibility that our design choice may have affected the results compared to the original </w:t>
      </w:r>
      <w:r>
        <w:lastRenderedPageBreak/>
        <w:t>scenarios, we conducted additional analyses for the Jacket, Play, and Plane scenarios. We simulated a between-subjects design by randomly assigning participants to one condition, effectively treating the data as if it came from a between-subjects experiment. The differences in effect sizes across the within and between-subject analyses were not credibly different from zero (Jacket: 95% CI [-0.10, 0.22]; Play: 95% CI [-0.25, 0.30]; Plane: 95% CI [-0.23, 0.28], see figure 8 in web appendix), suggesting that our results are robust to experimental design choices.</w:t>
      </w:r>
    </w:p>
    <w:p w:rsidR="00750EF6" w:rsidRDefault="00750EF6"/>
    <w:p w:rsidR="00750EF6" w:rsidRDefault="002B2CD6">
      <w:bookmarkStart w:id="21" w:name="_heading=h.tjfws8y4yqx5" w:colFirst="0" w:colLast="0"/>
      <w:bookmarkEnd w:id="21"/>
      <w:r>
        <w:t>Factors Related to Inter-Country Variability</w:t>
      </w:r>
    </w:p>
    <w:p w:rsidR="00750EF6" w:rsidRDefault="00750EF6"/>
    <w:p w:rsidR="00750EF6" w:rsidRDefault="002B2CD6">
      <w:pPr>
        <w:ind w:firstLine="720"/>
      </w:pPr>
      <w:r>
        <w:t>Having demonstrated the robustness of mental accounting effects across countries (pre-registered analyses), we next turn to exploratory analyses investigating what factors might explain the variations in effect sizes between countries, as seen in figure 1. Results demonstrated that individual differences did not explain such variations in our sample, while economic country characteristics measured as GDP per capita did. Furthermore, the effect of GDP per capita was significant also when controlling for countries’ currency denomination, democracy, and inequality levels. However, this GDP association should be interpreted with caution. It would be an ecological fallacy to conclude that wealth directly drives mental accounting, as individual income does not consistently predict mental accounting within countries. We therefore do not claim a causal link between GDP per capita and mental accounting, but rather report a robust statistical association. The potential mechanisms underlying this association are considered further in the Discussion.</w:t>
      </w:r>
    </w:p>
    <w:p w:rsidR="00750EF6" w:rsidRDefault="002B2CD6">
      <w:pPr>
        <w:ind w:firstLine="720"/>
        <w:rPr>
          <w:color w:val="000000"/>
        </w:rPr>
      </w:pPr>
      <w:r>
        <w:lastRenderedPageBreak/>
        <w:t xml:space="preserve">We first examined whether individual differences such as Age, Education, Income, and Financial Literacy could account for these variations. We converted the log odds ratios from the Game, Jacket, Play, and Plane scenarios into the same metric used for the Drink and Gym scenarios (standardized mean difference, also known as Cohen’s d), to combine the mental accounting effects of different scenarios (Chinn 2000). </w:t>
      </w:r>
      <w:proofErr w:type="spellStart"/>
      <w:r>
        <w:t>MrAB</w:t>
      </w:r>
      <w:proofErr w:type="spellEnd"/>
      <w:r>
        <w:t xml:space="preserve"> was excluded from these analyses since its measure of effect size could not be mapped onto a Cohen’s d. We then ran a hierarchical Bayesian analysis in which Financial Literacy, Education, Age, and Income were modeled as fixed-effects and random slopes, and the variable scenario was modeled as a random intercept and set weakly informative priors for all regression coefficients (normal distribution with mean = 0 and standard deviation = 2.5).</w:t>
      </w:r>
      <w:r>
        <w:rPr>
          <w:color w:val="000000"/>
        </w:rPr>
        <w:t xml:space="preserve"> All four predictors were z-scored (standardized to mean = 0, SD = 1) to ensure comparability across variables measured on different scales. We did not find any credible effects for any of the four predictors (see table </w:t>
      </w:r>
      <w:r>
        <w:t>4</w:t>
      </w:r>
      <w:r>
        <w:rPr>
          <w:color w:val="000000"/>
        </w:rPr>
        <w:t xml:space="preserve">). </w:t>
      </w:r>
    </w:p>
    <w:p w:rsidR="00750EF6" w:rsidRDefault="002B2CD6">
      <w:pPr>
        <w:ind w:firstLine="720"/>
      </w:pPr>
      <w:r>
        <w:t>To exclude the possibility that the lack of significant effects was due to the inclusion of all demographic variables in a single analysis, we additionally modeled each predictor separately. We fitted individual models for Financial Literacy, Education, Age, and Income, each including both fixed effects and random slopes by scenario. These separate analyses confirmed our initial findings, showing no credible effects for any of the individual difference variables when examined independently. These results suggest that mental accounting does not depend on the individual difference factors that we considered, even when potential correlations between predictors are eliminated from the analysis (table 4 in web appendix). Finally, to rule out the possibility that the relationship between individual differences and mental accounting might be non-linear rather than absent, we fitted a non-</w:t>
      </w:r>
      <w:r>
        <w:lastRenderedPageBreak/>
        <w:t>linear (logistic growth) model to each demographic variable. In no case did the model identify a credible non-linear pattern (see web appendix table 7).</w:t>
      </w:r>
    </w:p>
    <w:p w:rsidR="00750EF6" w:rsidRDefault="00750EF6">
      <w:pPr>
        <w:rPr>
          <w:color w:val="000000"/>
        </w:rPr>
      </w:pPr>
    </w:p>
    <w:p w:rsidR="00750EF6" w:rsidRDefault="002B2CD6">
      <w:pPr>
        <w:jc w:val="center"/>
        <w:rPr>
          <w:b/>
          <w:bCs/>
          <w:color w:val="000000"/>
        </w:rPr>
      </w:pPr>
      <w:r>
        <w:rPr>
          <w:b/>
          <w:bCs/>
          <w:color w:val="000000"/>
        </w:rPr>
        <w:t xml:space="preserve">TABLE </w:t>
      </w:r>
      <w:r>
        <w:rPr>
          <w:b/>
          <w:bCs/>
        </w:rPr>
        <w:t>4</w:t>
      </w:r>
    </w:p>
    <w:p w:rsidR="00750EF6" w:rsidRDefault="002B2CD6">
      <w:pPr>
        <w:jc w:val="center"/>
        <w:rPr>
          <w:smallCaps/>
          <w:color w:val="000000"/>
        </w:rPr>
      </w:pPr>
      <w:r>
        <w:rPr>
          <w:smallCaps/>
          <w:color w:val="000000"/>
        </w:rPr>
        <w:t>EFFECT OF FINANCIAL LITERACY AND</w:t>
      </w:r>
    </w:p>
    <w:p w:rsidR="00750EF6" w:rsidRDefault="002B2CD6">
      <w:pPr>
        <w:jc w:val="center"/>
        <w:rPr>
          <w:smallCaps/>
          <w:color w:val="000000"/>
        </w:rPr>
      </w:pPr>
      <w:r>
        <w:rPr>
          <w:smallCaps/>
          <w:color w:val="000000"/>
        </w:rPr>
        <w:t>DEMOGRAPHIC VARIABLES ON MENTAL ACCOUNTING</w:t>
      </w:r>
    </w:p>
    <w:p w:rsidR="00750EF6" w:rsidRDefault="00750EF6">
      <w:pPr>
        <w:rPr>
          <w:smallCaps/>
          <w:color w:val="000000"/>
        </w:rPr>
      </w:pPr>
    </w:p>
    <w:tbl>
      <w:tblPr>
        <w:tblStyle w:val="afd"/>
        <w:tblW w:w="7771" w:type="dxa"/>
        <w:jc w:val="center"/>
        <w:tblLayout w:type="fixed"/>
        <w:tblLook w:val="0400" w:firstRow="0" w:lastRow="0" w:firstColumn="0" w:lastColumn="0" w:noHBand="0" w:noVBand="1"/>
      </w:tblPr>
      <w:tblGrid>
        <w:gridCol w:w="2466"/>
        <w:gridCol w:w="1649"/>
        <w:gridCol w:w="1713"/>
        <w:gridCol w:w="1456"/>
        <w:gridCol w:w="487"/>
      </w:tblGrid>
      <w:tr w:rsidR="00750EF6">
        <w:trPr>
          <w:trHeight w:val="353"/>
          <w:tblHeader/>
          <w:jc w:val="center"/>
        </w:trPr>
        <w:tc>
          <w:tcPr>
            <w:tcW w:w="2466" w:type="dxa"/>
            <w:tcBorders>
              <w:top w:val="single" w:sz="6" w:space="0" w:color="000000"/>
              <w:left w:val="nil"/>
              <w:bottom w:val="single" w:sz="6" w:space="0" w:color="000000"/>
              <w:right w:val="nil"/>
            </w:tcBorders>
            <w:shd w:val="clear" w:color="auto" w:fill="FFFFFF"/>
            <w:tcMar>
              <w:top w:w="0" w:type="dxa"/>
              <w:left w:w="0" w:type="dxa"/>
              <w:bottom w:w="0" w:type="dxa"/>
              <w:right w:w="0" w:type="dxa"/>
            </w:tcMar>
            <w:vAlign w:val="center"/>
          </w:tcPr>
          <w:p w:rsidR="00750EF6" w:rsidRDefault="00750EF6"/>
        </w:tc>
        <w:tc>
          <w:tcPr>
            <w:tcW w:w="1649" w:type="dxa"/>
            <w:tcBorders>
              <w:top w:val="single" w:sz="6" w:space="0" w:color="000000"/>
              <w:left w:val="nil"/>
              <w:bottom w:val="single" w:sz="6" w:space="0" w:color="000000"/>
              <w:right w:val="nil"/>
            </w:tcBorders>
            <w:shd w:val="clear" w:color="auto" w:fill="FFFFFF"/>
            <w:tcMar>
              <w:top w:w="0" w:type="dxa"/>
              <w:left w:w="0" w:type="dxa"/>
              <w:bottom w:w="0" w:type="dxa"/>
              <w:right w:w="0" w:type="dxa"/>
            </w:tcMar>
            <w:vAlign w:val="center"/>
          </w:tcPr>
          <w:p w:rsidR="00750EF6" w:rsidRDefault="002B2CD6">
            <w:r>
              <w:rPr>
                <w:color w:val="000000"/>
              </w:rPr>
              <w:t>Standardized</w:t>
            </w:r>
            <w:r>
              <w:rPr>
                <w:color w:val="000000"/>
              </w:rPr>
              <w:br/>
              <w:t>Estimate</w:t>
            </w:r>
          </w:p>
        </w:tc>
        <w:tc>
          <w:tcPr>
            <w:tcW w:w="1713" w:type="dxa"/>
            <w:tcBorders>
              <w:top w:val="single" w:sz="6" w:space="0" w:color="000000"/>
              <w:left w:val="nil"/>
              <w:bottom w:val="single" w:sz="6" w:space="0" w:color="000000"/>
              <w:right w:val="nil"/>
            </w:tcBorders>
            <w:shd w:val="clear" w:color="auto" w:fill="FFFFFF"/>
            <w:tcMar>
              <w:top w:w="0" w:type="dxa"/>
              <w:left w:w="0" w:type="dxa"/>
              <w:bottom w:w="0" w:type="dxa"/>
              <w:right w:w="0" w:type="dxa"/>
            </w:tcMar>
            <w:vAlign w:val="center"/>
          </w:tcPr>
          <w:p w:rsidR="00750EF6" w:rsidRDefault="002B2CD6">
            <w:r>
              <w:rPr>
                <w:color w:val="000000"/>
              </w:rPr>
              <w:t>95% CIs</w:t>
            </w:r>
          </w:p>
        </w:tc>
        <w:tc>
          <w:tcPr>
            <w:tcW w:w="1943" w:type="dxa"/>
            <w:gridSpan w:val="2"/>
            <w:tcBorders>
              <w:top w:val="single" w:sz="6" w:space="0" w:color="000000"/>
              <w:left w:val="nil"/>
              <w:bottom w:val="single" w:sz="6" w:space="0" w:color="000000"/>
              <w:right w:val="nil"/>
            </w:tcBorders>
            <w:shd w:val="clear" w:color="auto" w:fill="FFFFFF"/>
            <w:tcMar>
              <w:top w:w="0" w:type="dxa"/>
              <w:left w:w="0" w:type="dxa"/>
              <w:bottom w:w="0" w:type="dxa"/>
              <w:right w:w="0" w:type="dxa"/>
            </w:tcMar>
            <w:vAlign w:val="center"/>
          </w:tcPr>
          <w:p w:rsidR="00750EF6" w:rsidRDefault="002B2CD6">
            <w:r>
              <w:rPr>
                <w:color w:val="000000"/>
              </w:rPr>
              <w:t>log₁₀(BF)</w:t>
            </w:r>
          </w:p>
        </w:tc>
      </w:tr>
      <w:tr w:rsidR="00750EF6">
        <w:trPr>
          <w:gridAfter w:val="1"/>
          <w:wAfter w:w="487" w:type="dxa"/>
          <w:trHeight w:val="353"/>
          <w:jc w:val="center"/>
        </w:trPr>
        <w:tc>
          <w:tcPr>
            <w:tcW w:w="2466" w:type="dxa"/>
            <w:tcBorders>
              <w:top w:val="single" w:sz="6" w:space="0" w:color="000000"/>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Financial Literacy</w:t>
            </w:r>
          </w:p>
        </w:tc>
        <w:tc>
          <w:tcPr>
            <w:tcW w:w="1649" w:type="dxa"/>
            <w:tcBorders>
              <w:top w:val="single" w:sz="6" w:space="0" w:color="000000"/>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-0.03</w:t>
            </w:r>
          </w:p>
        </w:tc>
        <w:tc>
          <w:tcPr>
            <w:tcW w:w="1713" w:type="dxa"/>
            <w:tcBorders>
              <w:top w:val="single" w:sz="6" w:space="0" w:color="000000"/>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-0.10, 0.05</w:t>
            </w:r>
          </w:p>
        </w:tc>
        <w:tc>
          <w:tcPr>
            <w:tcW w:w="1456" w:type="dxa"/>
            <w:tcBorders>
              <w:top w:val="single" w:sz="6" w:space="0" w:color="000000"/>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-1.31</w:t>
            </w:r>
          </w:p>
        </w:tc>
      </w:tr>
      <w:tr w:rsidR="00750EF6">
        <w:trPr>
          <w:gridAfter w:val="1"/>
          <w:wAfter w:w="487" w:type="dxa"/>
          <w:trHeight w:val="353"/>
          <w:jc w:val="center"/>
        </w:trPr>
        <w:tc>
          <w:tcPr>
            <w:tcW w:w="2466"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Education</w:t>
            </w:r>
          </w:p>
        </w:tc>
        <w:tc>
          <w:tcPr>
            <w:tcW w:w="1649"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0.00</w:t>
            </w:r>
          </w:p>
        </w:tc>
        <w:tc>
          <w:tcPr>
            <w:tcW w:w="1713"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-0.09, 0.09</w:t>
            </w:r>
          </w:p>
        </w:tc>
        <w:tc>
          <w:tcPr>
            <w:tcW w:w="1456"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-1.42</w:t>
            </w:r>
          </w:p>
        </w:tc>
      </w:tr>
      <w:tr w:rsidR="00750EF6">
        <w:trPr>
          <w:gridAfter w:val="1"/>
          <w:wAfter w:w="487" w:type="dxa"/>
          <w:trHeight w:val="353"/>
          <w:jc w:val="center"/>
        </w:trPr>
        <w:tc>
          <w:tcPr>
            <w:tcW w:w="2466"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Age</w:t>
            </w:r>
          </w:p>
        </w:tc>
        <w:tc>
          <w:tcPr>
            <w:tcW w:w="1649"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-0.07</w:t>
            </w:r>
          </w:p>
        </w:tc>
        <w:tc>
          <w:tcPr>
            <w:tcW w:w="1713"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-0.15, 0.02</w:t>
            </w:r>
          </w:p>
        </w:tc>
        <w:tc>
          <w:tcPr>
            <w:tcW w:w="1456" w:type="dxa"/>
            <w:tcBorders>
              <w:top w:val="nil"/>
              <w:left w:val="nil"/>
              <w:bottom w:val="nil"/>
              <w:right w:val="nil"/>
            </w:tcBorders>
            <w:shd w:val="clear" w:color="auto" w:fill="FFFFFF"/>
            <w:tcMar>
              <w:top w:w="0" w:type="dxa"/>
              <w:left w:w="0" w:type="dxa"/>
              <w:bottom w:w="0" w:type="dxa"/>
              <w:right w:w="0" w:type="dxa"/>
            </w:tcMar>
            <w:vAlign w:val="center"/>
          </w:tcPr>
          <w:p w:rsidR="00750EF6" w:rsidRDefault="002B2CD6">
            <w:r>
              <w:rPr>
                <w:color w:val="000000"/>
              </w:rPr>
              <w:t>-0.70</w:t>
            </w:r>
          </w:p>
        </w:tc>
      </w:tr>
      <w:tr w:rsidR="00750EF6">
        <w:trPr>
          <w:gridAfter w:val="1"/>
          <w:wAfter w:w="487" w:type="dxa"/>
          <w:trHeight w:val="353"/>
          <w:jc w:val="center"/>
        </w:trPr>
        <w:tc>
          <w:tcPr>
            <w:tcW w:w="2466" w:type="dxa"/>
            <w:tcBorders>
              <w:top w:val="nil"/>
              <w:left w:val="nil"/>
              <w:bottom w:val="single" w:sz="6" w:space="0" w:color="000000"/>
              <w:right w:val="nil"/>
            </w:tcBorders>
            <w:shd w:val="clear" w:color="auto" w:fill="FFFFFF"/>
            <w:tcMar>
              <w:top w:w="0" w:type="dxa"/>
              <w:left w:w="0" w:type="dxa"/>
              <w:bottom w:w="0" w:type="dxa"/>
              <w:right w:w="0" w:type="dxa"/>
            </w:tcMar>
            <w:vAlign w:val="center"/>
          </w:tcPr>
          <w:p w:rsidR="00750EF6" w:rsidRDefault="002B2CD6">
            <w:r>
              <w:rPr>
                <w:color w:val="000000"/>
              </w:rPr>
              <w:t>Income</w:t>
            </w:r>
          </w:p>
        </w:tc>
        <w:tc>
          <w:tcPr>
            <w:tcW w:w="1649" w:type="dxa"/>
            <w:tcBorders>
              <w:top w:val="nil"/>
              <w:left w:val="nil"/>
              <w:bottom w:val="single" w:sz="6" w:space="0" w:color="000000"/>
              <w:right w:val="nil"/>
            </w:tcBorders>
            <w:shd w:val="clear" w:color="auto" w:fill="FFFFFF"/>
            <w:tcMar>
              <w:top w:w="0" w:type="dxa"/>
              <w:left w:w="0" w:type="dxa"/>
              <w:bottom w:w="0" w:type="dxa"/>
              <w:right w:w="0" w:type="dxa"/>
            </w:tcMar>
            <w:vAlign w:val="center"/>
          </w:tcPr>
          <w:p w:rsidR="00750EF6" w:rsidRDefault="002B2CD6">
            <w:r>
              <w:rPr>
                <w:color w:val="000000"/>
              </w:rPr>
              <w:t>0.01</w:t>
            </w:r>
          </w:p>
        </w:tc>
        <w:tc>
          <w:tcPr>
            <w:tcW w:w="1713" w:type="dxa"/>
            <w:tcBorders>
              <w:top w:val="nil"/>
              <w:left w:val="nil"/>
              <w:bottom w:val="single" w:sz="6" w:space="0" w:color="000000"/>
              <w:right w:val="nil"/>
            </w:tcBorders>
            <w:shd w:val="clear" w:color="auto" w:fill="FFFFFF"/>
            <w:tcMar>
              <w:top w:w="0" w:type="dxa"/>
              <w:left w:w="0" w:type="dxa"/>
              <w:bottom w:w="0" w:type="dxa"/>
              <w:right w:w="0" w:type="dxa"/>
            </w:tcMar>
            <w:vAlign w:val="center"/>
          </w:tcPr>
          <w:p w:rsidR="00750EF6" w:rsidRDefault="002B2CD6">
            <w:r>
              <w:rPr>
                <w:color w:val="000000"/>
              </w:rPr>
              <w:t>-0.05, 0.08</w:t>
            </w:r>
          </w:p>
        </w:tc>
        <w:tc>
          <w:tcPr>
            <w:tcW w:w="1456" w:type="dxa"/>
            <w:tcBorders>
              <w:top w:val="nil"/>
              <w:left w:val="nil"/>
              <w:bottom w:val="single" w:sz="6" w:space="0" w:color="000000"/>
              <w:right w:val="nil"/>
            </w:tcBorders>
            <w:shd w:val="clear" w:color="auto" w:fill="FFFFFF"/>
            <w:tcMar>
              <w:top w:w="0" w:type="dxa"/>
              <w:left w:w="0" w:type="dxa"/>
              <w:bottom w:w="0" w:type="dxa"/>
              <w:right w:w="0" w:type="dxa"/>
            </w:tcMar>
            <w:vAlign w:val="center"/>
          </w:tcPr>
          <w:p w:rsidR="00750EF6" w:rsidRDefault="002B2CD6">
            <w:r>
              <w:rPr>
                <w:color w:val="000000"/>
              </w:rPr>
              <w:t>-1.46</w:t>
            </w:r>
          </w:p>
        </w:tc>
      </w:tr>
    </w:tbl>
    <w:p w:rsidR="00750EF6" w:rsidRDefault="002B2CD6">
      <w:r>
        <w:t>NOTE. Standardized estimates are based on z-scored country-level means for Financial Literacy, Education, Age, and Income.</w:t>
      </w:r>
    </w:p>
    <w:p w:rsidR="00750EF6" w:rsidRDefault="00750EF6"/>
    <w:p w:rsidR="00750EF6" w:rsidRDefault="002B2CD6">
      <w:pPr>
        <w:ind w:firstLine="720"/>
      </w:pPr>
      <w:r>
        <w:rPr>
          <w:color w:val="000000"/>
        </w:rPr>
        <w:t xml:space="preserve">To further validate this conclusion, we conducted more granular analyses where we considered each </w:t>
      </w:r>
      <w:r>
        <w:t>participant</w:t>
      </w:r>
      <w:r>
        <w:rPr>
          <w:color w:val="000000"/>
        </w:rPr>
        <w:t xml:space="preserve">, country, and </w:t>
      </w:r>
      <w:r>
        <w:t>scenario</w:t>
      </w:r>
      <w:r>
        <w:rPr>
          <w:color w:val="000000"/>
        </w:rPr>
        <w:t xml:space="preserve"> </w:t>
      </w:r>
      <w:r>
        <w:t>separately</w:t>
      </w:r>
      <w:r>
        <w:rPr>
          <w:color w:val="000000"/>
        </w:rPr>
        <w:t xml:space="preserve">. </w:t>
      </w:r>
      <w:proofErr w:type="gramStart"/>
      <w:r>
        <w:t>Also</w:t>
      </w:r>
      <w:proofErr w:type="gramEnd"/>
      <w:r>
        <w:t xml:space="preserve"> in this case, we fitted individual models for Financial Literacy, Education, Age, and Income, each including both fixed effects and random slopes by country, as well as a model with all the predictors. Both approaches confirmed the absence of a robust association between the four demographic variables and mental accounting (figure 2 in web appendix).</w:t>
      </w:r>
    </w:p>
    <w:p w:rsidR="00750EF6" w:rsidRDefault="002B2CD6">
      <w:pPr>
        <w:ind w:firstLine="720"/>
        <w:rPr>
          <w:color w:val="000000"/>
        </w:rPr>
      </w:pPr>
      <w:r>
        <w:lastRenderedPageBreak/>
        <w:t>Next, we</w:t>
      </w:r>
      <w:r>
        <w:rPr>
          <w:color w:val="000000"/>
        </w:rPr>
        <w:t xml:space="preserve"> </w:t>
      </w:r>
      <w:r>
        <w:t>explored</w:t>
      </w:r>
      <w:r>
        <w:rPr>
          <w:color w:val="000000"/>
        </w:rPr>
        <w:t xml:space="preserve"> whether the </w:t>
      </w:r>
      <w:r>
        <w:t>broader</w:t>
      </w:r>
      <w:r>
        <w:rPr>
          <w:color w:val="000000"/>
        </w:rPr>
        <w:t xml:space="preserve"> economic context of a country </w:t>
      </w:r>
      <w:r>
        <w:t>might</w:t>
      </w:r>
      <w:r>
        <w:rPr>
          <w:color w:val="000000"/>
        </w:rPr>
        <w:t xml:space="preserve"> influence the extent of mental accounting by</w:t>
      </w:r>
      <w:r>
        <w:t xml:space="preserve"> testing</w:t>
      </w:r>
      <w:r>
        <w:rPr>
          <w:color w:val="000000"/>
        </w:rPr>
        <w:t xml:space="preserve"> the relationship between GDP per capita, </w:t>
      </w:r>
      <w:r>
        <w:t>used here as</w:t>
      </w:r>
      <w:r>
        <w:rPr>
          <w:color w:val="000000"/>
        </w:rPr>
        <w:t xml:space="preserve"> a proxy </w:t>
      </w:r>
      <w:r>
        <w:t>for national economic prosperity,</w:t>
      </w:r>
      <w:r>
        <w:rPr>
          <w:color w:val="000000"/>
        </w:rPr>
        <w:t xml:space="preserve"> and mental accounting.</w:t>
      </w:r>
      <w:r>
        <w:t xml:space="preserve"> We found</w:t>
      </w:r>
      <w:r>
        <w:rPr>
          <w:color w:val="000000"/>
        </w:rPr>
        <w:t xml:space="preserve"> a positive association between GDP per capita and mental accounting up to</w:t>
      </w:r>
      <w:r>
        <w:t xml:space="preserve"> approximately</w:t>
      </w:r>
      <w:r>
        <w:rPr>
          <w:color w:val="000000"/>
        </w:rPr>
        <w:t xml:space="preserve"> $50,</w:t>
      </w:r>
      <w:r>
        <w:t>000</w:t>
      </w:r>
      <w:r>
        <w:rPr>
          <w:color w:val="000000"/>
        </w:rPr>
        <w:t xml:space="preserve"> (slope = 2.5, 95% CIs = [0.69 – 4.68]) and a plateau effect for higher values (see figure 2B). To obtain this result, we tested for the presence of both a linear and a non-linear relationship, fitting a Bayesian hierarchical linear regression </w:t>
      </w:r>
      <w:r>
        <w:t>to</w:t>
      </w:r>
      <w:r>
        <w:rPr>
          <w:color w:val="000000"/>
        </w:rPr>
        <w:t xml:space="preserve"> test the first hypothesis and a Bayesian hierarchical logistic growth model to test the second. We then compared the predictive performance of the two models using leave-one-out cross-validation, and found that the non-linear model outperformed the linear model. The difference in expected log pointwise predictive density (ELPD) was -12.7 (standard error = 4.5), indicating a substantially higher predictive accuracy for </w:t>
      </w:r>
      <w:r>
        <w:t xml:space="preserve">the non-linear </w:t>
      </w:r>
      <w:r>
        <w:rPr>
          <w:color w:val="000000"/>
        </w:rPr>
        <w:t xml:space="preserve">model. These findings suggest that, in our sample, stronger effects for mental accounting were observed in countries with higher GDP per capita, but this effect levels off at higher economic thresholds. </w:t>
      </w:r>
    </w:p>
    <w:p w:rsidR="00750EF6" w:rsidRDefault="002B2CD6">
      <w:pPr>
        <w:ind w:firstLine="708"/>
      </w:pPr>
      <w:r>
        <w:t>Because GDP per capita is related to other country-level differences, the probability of introducing omitted variable bias is a concern. Therefore, in an effort to isolate the effect of GDP per capita from related country-level metrics like political climate and economic inequality, we tested whether other related constructs</w:t>
      </w:r>
      <w:r>
        <w:rPr>
          <w:rFonts w:ascii="Roboto" w:eastAsia="Roboto" w:hAnsi="Roboto" w:cs="Roboto"/>
          <w:i/>
          <w:iCs/>
          <w:color w:val="444746"/>
        </w:rPr>
        <w:t>—</w:t>
      </w:r>
      <w:r>
        <w:t>currency denomination, the Democracy Index, and the Gini coefficient</w:t>
      </w:r>
      <w:r>
        <w:rPr>
          <w:rFonts w:ascii="Roboto" w:eastAsia="Roboto" w:hAnsi="Roboto" w:cs="Roboto"/>
          <w:i/>
          <w:iCs/>
          <w:color w:val="444746"/>
        </w:rPr>
        <w:t>—</w:t>
      </w:r>
      <w:r>
        <w:t xml:space="preserve">could also explain the effect. We first applied the same linear and logistic growth model comparison to each control variable individually. In no case did the non-linear model provide a meaningful improvement over the linear model (all ELPD differences within one standard error; see web appendix, table 7). </w:t>
      </w:r>
    </w:p>
    <w:p w:rsidR="00750EF6" w:rsidRDefault="002B2CD6">
      <w:pPr>
        <w:ind w:firstLine="708"/>
      </w:pPr>
      <w:r>
        <w:lastRenderedPageBreak/>
        <w:t>Having established that these control variables do not exhibit non-linear patterns, we included them as linear covariates alongside a non-linear GDP term. We reasoned that controlling for these variables, that might have an impact on mental accounting effects, could capture other country-level differences that are correlated with GDP per capita. By doing so we could rule out at least some of the potential alternative explanations for the relationship between GDP per capita and mental accounting across countries. We found no evidence of an effect of currency denomination (β = -0.07, 95% CIs = [-0.20, 0.05]), Democracy Index (β = -0.06, 95% CIs = [-0.15, 0.04]), or Gini coefficient (β = -0.07, 95% CIs = [-0.18, 0.04]), but we still found an effect of GDP per capita (growth rate = 1.90, 95% CIs = [0.11, 4.50]) on mental accounting.</w:t>
      </w:r>
    </w:p>
    <w:p w:rsidR="00750EF6" w:rsidRDefault="002B2CD6">
      <w:pPr>
        <w:ind w:firstLine="708"/>
      </w:pPr>
      <w:r>
        <w:t xml:space="preserve">It is important to note that the absence of an individual income effect reported above does not contradict the GDP finding. Income in our study was measured as ordinal brackets relative to each country's median, reflecting participants' relative position within their own country's income distribution, whereas GDP per capita is an absolute measure of a country's economic output. The two results are therefore not contradictory, provided that the GDP association is not interpreted as evidence that wealth directly causes stronger mental accounting. </w:t>
      </w:r>
    </w:p>
    <w:p w:rsidR="00750EF6" w:rsidRDefault="002B2CD6">
      <w:pPr>
        <w:jc w:val="center"/>
        <w:rPr>
          <w:b/>
          <w:bCs/>
        </w:rPr>
      </w:pPr>
      <w:r>
        <w:rPr>
          <w:b/>
          <w:bCs/>
        </w:rPr>
        <w:t>FIGURE 2</w:t>
      </w:r>
    </w:p>
    <w:p w:rsidR="00750EF6" w:rsidRDefault="002B2CD6">
      <w:pPr>
        <w:jc w:val="center"/>
        <w:rPr>
          <w:smallCaps/>
        </w:rPr>
      </w:pPr>
      <w:r>
        <w:t>RELATIONSHIP BETWEEN INDIVIDUAL DIFFERENCES VARIABLES,</w:t>
      </w:r>
    </w:p>
    <w:p w:rsidR="00750EF6" w:rsidRDefault="002B2CD6">
      <w:pPr>
        <w:jc w:val="center"/>
        <w:rPr>
          <w:b/>
          <w:bCs/>
        </w:rPr>
      </w:pPr>
      <w:r>
        <w:rPr>
          <w:smallCaps/>
        </w:rPr>
        <w:t>GDP PER CAPITA, AND MENTAL ACCOUNTING</w:t>
      </w:r>
    </w:p>
    <w:p w:rsidR="00750EF6" w:rsidRDefault="00750EF6"/>
    <w:p w:rsidR="00750EF6" w:rsidRDefault="002B2CD6">
      <w:r>
        <w:rPr>
          <w:noProof/>
        </w:rPr>
        <w:lastRenderedPageBreak/>
        <w:drawing>
          <wp:inline distT="114300" distB="114300" distL="114300" distR="114300">
            <wp:extent cx="5943600" cy="4864100"/>
            <wp:effectExtent l="0" t="0" r="0" b="0"/>
            <wp:docPr id="18362367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4864100"/>
                    </a:xfrm>
                    <a:prstGeom prst="rect">
                      <a:avLst/>
                    </a:prstGeom>
                    <a:ln/>
                  </pic:spPr>
                </pic:pic>
              </a:graphicData>
            </a:graphic>
          </wp:inline>
        </w:drawing>
      </w:r>
    </w:p>
    <w:p w:rsidR="00750EF6" w:rsidRDefault="002B2CD6">
      <w:pPr>
        <w:rPr>
          <w:color w:val="000000"/>
        </w:rPr>
      </w:pPr>
      <w:r>
        <w:rPr>
          <w:color w:val="000000"/>
        </w:rPr>
        <w:t xml:space="preserve">NOTE. (A) </w:t>
      </w:r>
      <w:r>
        <w:t>Study-level posterior estimates of Financial Literacy, Education, Age, and Income as predictors of mental accounting. For each predictor, horizontal bars represent study-specific estimates (fixed + random effects) at three credible interval levels (thin: 95%; medium: 80%; thick: 50%). The density plots at the top of each column show the overall fixed effect. The vertical gray line marks zero.</w:t>
      </w:r>
      <w:r>
        <w:rPr>
          <w:color w:val="000000"/>
        </w:rPr>
        <w:t xml:space="preserve"> (B) </w:t>
      </w:r>
      <w:r>
        <w:t xml:space="preserve">GDP per Capita analysis. Left: study-level estimates of the logistic growth rate parameter, displayed in the same format as Panel A. Right: scatter plot of GDP per capita against mental accounting (Cohen's d), with each country represented by its national flag and the fitted logistic curve overlaid. </w:t>
      </w:r>
    </w:p>
    <w:p w:rsidR="00750EF6" w:rsidRDefault="00750EF6">
      <w:bookmarkStart w:id="22" w:name="_heading=h.rmdruxra93o5" w:colFirst="0" w:colLast="0"/>
      <w:bookmarkEnd w:id="22"/>
    </w:p>
    <w:p w:rsidR="00750EF6" w:rsidRDefault="002B2CD6">
      <w:bookmarkStart w:id="23" w:name="_heading=h.s5dtvzu9eqiz" w:colFirst="0" w:colLast="0"/>
      <w:bookmarkEnd w:id="23"/>
      <w:r>
        <w:lastRenderedPageBreak/>
        <w:t>Heterogeneity in Scenarios with Multidimensional Scaling (MDS) Analysis</w:t>
      </w:r>
    </w:p>
    <w:p w:rsidR="00750EF6" w:rsidRDefault="00750EF6"/>
    <w:p w:rsidR="00750EF6" w:rsidRDefault="002B2CD6">
      <w:pPr>
        <w:spacing w:before="240" w:after="240"/>
        <w:ind w:right="0" w:firstLine="720"/>
      </w:pPr>
      <w:r>
        <w:t>The preceding analyses examined what predicts the strength of mental accounting effects. We found that individual demographics do not explain who shows stronger effects, while there is an association with country-level wealth (i.e., GDP). Throughout these analyses, we adopted a theory-guided approach and treated the different scenarios as interchangeable instances of the same mental accounting construct, since they were all developed to tap into it. Next, we sought to leverage the unique structure of our dataset, with multiple scenarios administered to the same participants across 21 countries, to directly test this assumption. Specifically, we asked whether the various scenarios actually tap into the same underlying process. If they do, individuals who show strong effects on one scenario should also show strong effects on others.</w:t>
      </w:r>
    </w:p>
    <w:p w:rsidR="00750EF6" w:rsidRDefault="002B2CD6">
      <w:pPr>
        <w:spacing w:before="240" w:after="240"/>
        <w:ind w:right="0" w:firstLine="720"/>
      </w:pPr>
      <w:r>
        <w:t xml:space="preserve">To test this, we computed within-person correlations across all scenario pairs, using appropriate methods for binary and continuous outcomes, and meta-analyzed the results across countries. Individual-level correlations were uniformly weak (mean |r| = 0.04, ranging from -0.005 to 0.078; figure 3A, left), indicating that an individual's mental accounting response on one scenario provides almost no information about their response on another. To validate this result, we used mixed-effects models to predict each scenario's mental accounting score from all other scenarios, with random intercepts for the country. This approach more directly addresses the question of how well one can predict an individual's mental accounting response on a target scenario given their responses on all other scenarios, naturally accounts for the hierarchical structure of the data, and accommodates the different nature of outcomes through appropriate link functions. Although all full models were significantly better than an intercept-only baseline with country random effects (all </w:t>
      </w:r>
      <w:proofErr w:type="spellStart"/>
      <w:r>
        <w:rPr>
          <w:i/>
          <w:iCs/>
        </w:rPr>
        <w:t>p</w:t>
      </w:r>
      <w:r>
        <w:t>s</w:t>
      </w:r>
      <w:proofErr w:type="spellEnd"/>
      <w:r>
        <w:t xml:space="preserve"> &lt; .001), the variance explained remained low: other scenarios </w:t>
      </w:r>
      <w:r>
        <w:lastRenderedPageBreak/>
        <w:t>collectively explain only 4.3% of variance (figure 3A, right). These findings suggest that the various scenarios, despite all being designed to capture mental accounting, do not tap into a single underlying process at the individual level.</w:t>
      </w:r>
    </w:p>
    <w:p w:rsidR="00750EF6" w:rsidRDefault="002B2CD6">
      <w:pPr>
        <w:spacing w:before="240" w:after="240"/>
        <w:ind w:right="0" w:firstLine="720"/>
      </w:pPr>
      <w:r>
        <w:t>While the scenarios do not appear to measure a common process at the individual level, we observed substantial variation in how they replicated across countries (ranging from 71% to 100%), and country-level GDP was associated with effect size variation. This suggests that scenarios may differ in their sensitivity to country-level factors. We therefore assessed whether a structure emerges at the aggregate level: if scenarios share sensitivity to country-level factors, countries showing strong effects on one scenario should also show strong effects on others.</w:t>
      </w:r>
    </w:p>
    <w:p w:rsidR="00750EF6" w:rsidRDefault="002B2CD6">
      <w:pPr>
        <w:spacing w:before="240" w:after="240"/>
        <w:ind w:right="0" w:firstLine="720"/>
      </w:pPr>
      <w:r>
        <w:t>Country-level correlations were indeed substantially stronger (mean |r| = 0.34, ranging from -0.31 to 0.69; figure 3B, left). Using the same predictive modeling approach at the country level, we predicted each scenario's effect size from all other scenarios across the 21 countries. On average, other scenarios collectively explained 45% of variance in a held-out scenario (mean adjusted R² across the seven scenarios, accounting for the number of predictors; figure 3B, right), confirming that a structure emerges at the aggregate level.</w:t>
      </w:r>
    </w:p>
    <w:p w:rsidR="00750EF6" w:rsidRDefault="002B2CD6">
      <w:pPr>
        <w:spacing w:before="240" w:after="240"/>
        <w:ind w:right="0" w:firstLine="720"/>
      </w:pPr>
      <w:r>
        <w:t xml:space="preserve">Having established that scenarios covary at the country level, we next sought to characterize this structure. We conducted a multidimensional scaling (MDS) analysis, which projects scenarios into a lower-dimensional space based on the similarity of their between-country effect size patterns, revealing which scenarios cluster together and along which dimensions. We constructed a matrix with 21 countries as rows and seven mental accounting scenarios as columns, using the mean effect size for each scenario within each country. For scenarios with binomial outcomes (e.g., </w:t>
      </w:r>
      <w:proofErr w:type="spellStart"/>
      <w:r>
        <w:rPr>
          <w:i/>
          <w:iCs/>
        </w:rPr>
        <w:t>MrAB</w:t>
      </w:r>
      <w:proofErr w:type="spellEnd"/>
      <w:r>
        <w:t xml:space="preserve">, </w:t>
      </w:r>
      <w:r>
        <w:rPr>
          <w:i/>
          <w:iCs/>
        </w:rPr>
        <w:t>Game</w:t>
      </w:r>
      <w:r>
        <w:t xml:space="preserve">, </w:t>
      </w:r>
      <w:r>
        <w:rPr>
          <w:i/>
          <w:iCs/>
        </w:rPr>
        <w:t>Jacket</w:t>
      </w:r>
      <w:r>
        <w:t xml:space="preserve">, </w:t>
      </w:r>
      <w:r>
        <w:rPr>
          <w:i/>
          <w:iCs/>
        </w:rPr>
        <w:t>Play</w:t>
      </w:r>
      <w:r>
        <w:t xml:space="preserve">, </w:t>
      </w:r>
      <w:r>
        <w:rPr>
          <w:i/>
          <w:iCs/>
        </w:rPr>
        <w:t>Plane</w:t>
      </w:r>
      <w:r>
        <w:t xml:space="preserve">), effect sizes were </w:t>
      </w:r>
      <w:r>
        <w:lastRenderedPageBreak/>
        <w:t>converted to standardized mean differences using the logit approximation. We then standardized the effect sizes across countries and computed Euclidean distances between scenarios. This distance matrix served as input to the MDS, from which we extracted three principal coordinate dimensions that together explained 78.3% of the variance in inter-scenario relationships.</w:t>
      </w:r>
    </w:p>
    <w:p w:rsidR="00750EF6" w:rsidRDefault="002B2CD6">
      <w:pPr>
        <w:spacing w:before="240" w:after="240"/>
        <w:ind w:right="0" w:firstLine="720"/>
      </w:pPr>
      <w:r>
        <w:t xml:space="preserve">By visualizing the scenarios within this three-dimensional space (figure 3), the MDS analysis clarifies how mental accounting effects vary along interpretable scenario features associated with different patterns of between countries variability. We propose the following interpretations for these three dimensions, while recognizing that alternative explanations may be possible. The first dimension (34.3% of variance) appears to reflect differences in social context involvement. That is, whether the decision is made in interaction with others (e.g., </w:t>
      </w:r>
      <w:r>
        <w:rPr>
          <w:i/>
          <w:iCs/>
        </w:rPr>
        <w:t>Drink</w:t>
      </w:r>
      <w:r>
        <w:t xml:space="preserve"> scenario: “a friend offering to buy beer”) or individually (e.g., </w:t>
      </w:r>
      <w:r>
        <w:rPr>
          <w:i/>
          <w:iCs/>
        </w:rPr>
        <w:t>Jacket</w:t>
      </w:r>
      <w:r>
        <w:t xml:space="preserve"> scenario: “Would you make the trip to the other store?”). The second dimension (26.9% of variance) seems to capture the decision perspective: whether participants are evaluating outcomes for others (e.g., </w:t>
      </w:r>
      <w:proofErr w:type="spellStart"/>
      <w:r>
        <w:rPr>
          <w:i/>
          <w:iCs/>
        </w:rPr>
        <w:t>MrAB</w:t>
      </w:r>
      <w:proofErr w:type="spellEnd"/>
      <w:r>
        <w:t xml:space="preserve"> scenario: “Who is happier?”) or making decisions for themselves (e.g., </w:t>
      </w:r>
      <w:r>
        <w:rPr>
          <w:i/>
          <w:iCs/>
        </w:rPr>
        <w:t>Drink</w:t>
      </w:r>
      <w:r>
        <w:t xml:space="preserve"> scenario: “What price do you tell them?”; figure 3A). The third dimension (17.1% of variance) distinguishes the role in price determination, ranging from actively setting a price (e.g., </w:t>
      </w:r>
      <w:r>
        <w:rPr>
          <w:i/>
          <w:iCs/>
        </w:rPr>
        <w:t>Game</w:t>
      </w:r>
      <w:r>
        <w:t xml:space="preserve"> scenario: “What price do you ask for the ticket?”), to evaluating or choosing among fixed options (e.g., </w:t>
      </w:r>
      <w:r>
        <w:rPr>
          <w:i/>
          <w:iCs/>
        </w:rPr>
        <w:t>Gym</w:t>
      </w:r>
      <w:r>
        <w:t xml:space="preserve"> scenario: “The membership to the gym allows you to pay…”), to responding to a predetermined price (e.g., </w:t>
      </w:r>
      <w:r>
        <w:rPr>
          <w:i/>
          <w:iCs/>
        </w:rPr>
        <w:t>Play</w:t>
      </w:r>
      <w:r>
        <w:t xml:space="preserve"> scenario: “Would you pay $40 for another ticket?”; figure 3B, table 5).</w:t>
      </w:r>
    </w:p>
    <w:p w:rsidR="00750EF6" w:rsidRDefault="00750EF6">
      <w:pPr>
        <w:spacing w:before="240" w:after="240"/>
        <w:ind w:right="0" w:firstLine="720"/>
      </w:pPr>
    </w:p>
    <w:p w:rsidR="00750EF6" w:rsidRDefault="002B2CD6">
      <w:pPr>
        <w:jc w:val="center"/>
        <w:rPr>
          <w:b/>
          <w:bCs/>
        </w:rPr>
      </w:pPr>
      <w:r>
        <w:rPr>
          <w:b/>
          <w:bCs/>
        </w:rPr>
        <w:t>TABLE 5</w:t>
      </w:r>
    </w:p>
    <w:p w:rsidR="00750EF6" w:rsidRDefault="002B2CD6">
      <w:pPr>
        <w:jc w:val="center"/>
      </w:pPr>
      <w:r>
        <w:t xml:space="preserve">MDS DIMENSIONS OF MENTAL ACCOUNTING SCENARIOS </w:t>
      </w:r>
    </w:p>
    <w:tbl>
      <w:tblPr>
        <w:tblStyle w:val="afe"/>
        <w:tblW w:w="9213"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785"/>
        <w:gridCol w:w="4335"/>
        <w:gridCol w:w="3093"/>
      </w:tblGrid>
      <w:tr w:rsidR="00750EF6">
        <w:trPr>
          <w:trHeight w:val="433"/>
        </w:trPr>
        <w:tc>
          <w:tcPr>
            <w:tcW w:w="1785" w:type="dxa"/>
            <w:tcBorders>
              <w:top w:val="single" w:sz="8" w:space="0" w:color="000000"/>
              <w:left w:val="nil"/>
              <w:bottom w:val="single" w:sz="8" w:space="0" w:color="000000"/>
              <w:right w:val="nil"/>
            </w:tcBorders>
            <w:tcMar>
              <w:top w:w="0" w:type="dxa"/>
              <w:left w:w="0" w:type="dxa"/>
              <w:bottom w:w="0" w:type="dxa"/>
              <w:right w:w="0" w:type="dxa"/>
            </w:tcMar>
          </w:tcPr>
          <w:p w:rsidR="00750EF6" w:rsidRDefault="002B2CD6">
            <w:pPr>
              <w:spacing w:line="240" w:lineRule="auto"/>
              <w:rPr>
                <w:b/>
                <w:bCs/>
              </w:rPr>
            </w:pPr>
            <w:r>
              <w:rPr>
                <w:b/>
                <w:bCs/>
              </w:rPr>
              <w:lastRenderedPageBreak/>
              <w:t xml:space="preserve">Dimension </w:t>
            </w:r>
          </w:p>
        </w:tc>
        <w:tc>
          <w:tcPr>
            <w:tcW w:w="4335" w:type="dxa"/>
            <w:tcBorders>
              <w:top w:val="single" w:sz="8" w:space="0" w:color="000000"/>
              <w:left w:val="nil"/>
              <w:bottom w:val="single" w:sz="8" w:space="0" w:color="000000"/>
              <w:right w:val="nil"/>
            </w:tcBorders>
            <w:tcMar>
              <w:top w:w="0" w:type="dxa"/>
              <w:left w:w="0" w:type="dxa"/>
              <w:bottom w:w="0" w:type="dxa"/>
              <w:right w:w="0" w:type="dxa"/>
            </w:tcMar>
          </w:tcPr>
          <w:p w:rsidR="00750EF6" w:rsidRDefault="002B2CD6">
            <w:pPr>
              <w:spacing w:line="240" w:lineRule="auto"/>
              <w:rPr>
                <w:b/>
                <w:bCs/>
              </w:rPr>
            </w:pPr>
            <w:r>
              <w:rPr>
                <w:b/>
                <w:bCs/>
              </w:rPr>
              <w:t xml:space="preserve">Explanation </w:t>
            </w:r>
          </w:p>
        </w:tc>
        <w:tc>
          <w:tcPr>
            <w:tcW w:w="3093" w:type="dxa"/>
            <w:tcBorders>
              <w:top w:val="single" w:sz="8" w:space="0" w:color="000000"/>
              <w:left w:val="nil"/>
              <w:bottom w:val="single" w:sz="8" w:space="0" w:color="000000"/>
              <w:right w:val="nil"/>
            </w:tcBorders>
            <w:tcMar>
              <w:top w:w="0" w:type="dxa"/>
              <w:left w:w="0" w:type="dxa"/>
              <w:bottom w:w="0" w:type="dxa"/>
              <w:right w:w="0" w:type="dxa"/>
            </w:tcMar>
          </w:tcPr>
          <w:p w:rsidR="00750EF6" w:rsidRDefault="002B2CD6">
            <w:pPr>
              <w:spacing w:line="240" w:lineRule="auto"/>
              <w:rPr>
                <w:b/>
                <w:bCs/>
              </w:rPr>
            </w:pPr>
            <w:r>
              <w:rPr>
                <w:b/>
                <w:bCs/>
              </w:rPr>
              <w:t xml:space="preserve">Associated Scenarios </w:t>
            </w:r>
          </w:p>
        </w:tc>
      </w:tr>
      <w:tr w:rsidR="00750EF6">
        <w:trPr>
          <w:trHeight w:val="1294"/>
        </w:trPr>
        <w:tc>
          <w:tcPr>
            <w:tcW w:w="1785" w:type="dxa"/>
            <w:tcBorders>
              <w:top w:val="single" w:sz="8" w:space="0" w:color="000000"/>
              <w:left w:val="nil"/>
              <w:bottom w:val="nil"/>
              <w:right w:val="nil"/>
            </w:tcBorders>
            <w:tcMar>
              <w:top w:w="0" w:type="dxa"/>
              <w:left w:w="0" w:type="dxa"/>
              <w:bottom w:w="0" w:type="dxa"/>
              <w:right w:w="0" w:type="dxa"/>
            </w:tcMar>
          </w:tcPr>
          <w:p w:rsidR="00750EF6" w:rsidRDefault="002B2CD6">
            <w:pPr>
              <w:spacing w:line="240" w:lineRule="auto"/>
            </w:pPr>
            <w:r>
              <w:t xml:space="preserve">1. Social Context </w:t>
            </w:r>
          </w:p>
        </w:tc>
        <w:tc>
          <w:tcPr>
            <w:tcW w:w="4335" w:type="dxa"/>
            <w:tcBorders>
              <w:top w:val="single" w:sz="8" w:space="0" w:color="000000"/>
              <w:left w:val="nil"/>
              <w:bottom w:val="nil"/>
              <w:right w:val="nil"/>
            </w:tcBorders>
            <w:tcMar>
              <w:top w:w="0" w:type="dxa"/>
              <w:left w:w="0" w:type="dxa"/>
              <w:bottom w:w="0" w:type="dxa"/>
              <w:right w:w="0" w:type="dxa"/>
            </w:tcMar>
          </w:tcPr>
          <w:p w:rsidR="00750EF6" w:rsidRDefault="002B2CD6">
            <w:pPr>
              <w:spacing w:line="240" w:lineRule="auto"/>
            </w:pPr>
            <w:r>
              <w:t xml:space="preserve">Differentiates whether the decision is made in isolation or involves a social interaction/transaction with another person. </w:t>
            </w:r>
          </w:p>
        </w:tc>
        <w:tc>
          <w:tcPr>
            <w:tcW w:w="3093" w:type="dxa"/>
            <w:tcBorders>
              <w:top w:val="single" w:sz="8" w:space="0" w:color="000000"/>
              <w:left w:val="nil"/>
              <w:bottom w:val="nil"/>
              <w:right w:val="nil"/>
            </w:tcBorders>
            <w:tcMar>
              <w:top w:w="0" w:type="dxa"/>
              <w:left w:w="0" w:type="dxa"/>
              <w:bottom w:w="0" w:type="dxa"/>
              <w:right w:w="0" w:type="dxa"/>
            </w:tcMar>
          </w:tcPr>
          <w:p w:rsidR="00750EF6" w:rsidRDefault="002B2CD6">
            <w:pPr>
              <w:spacing w:line="240" w:lineRule="auto"/>
            </w:pPr>
            <w:r>
              <w:t xml:space="preserve">Individual: Jacket </w:t>
            </w:r>
            <w:r>
              <w:br/>
            </w:r>
          </w:p>
          <w:p w:rsidR="00750EF6" w:rsidRDefault="002B2CD6">
            <w:pPr>
              <w:spacing w:line="240" w:lineRule="auto"/>
            </w:pPr>
            <w:r>
              <w:t xml:space="preserve">Social/Interactive: Drink, Plane, Game </w:t>
            </w:r>
          </w:p>
        </w:tc>
      </w:tr>
      <w:tr w:rsidR="00750EF6">
        <w:trPr>
          <w:trHeight w:val="1279"/>
        </w:trPr>
        <w:tc>
          <w:tcPr>
            <w:tcW w:w="1785" w:type="dxa"/>
            <w:tcBorders>
              <w:top w:val="nil"/>
              <w:left w:val="nil"/>
              <w:bottom w:val="nil"/>
              <w:right w:val="nil"/>
            </w:tcBorders>
            <w:tcMar>
              <w:top w:w="0" w:type="dxa"/>
              <w:left w:w="0" w:type="dxa"/>
              <w:bottom w:w="0" w:type="dxa"/>
              <w:right w:w="0" w:type="dxa"/>
            </w:tcMar>
          </w:tcPr>
          <w:p w:rsidR="00750EF6" w:rsidRDefault="002B2CD6">
            <w:pPr>
              <w:spacing w:line="240" w:lineRule="auto"/>
            </w:pPr>
            <w:r>
              <w:t xml:space="preserve">2. Decision Perspective </w:t>
            </w:r>
          </w:p>
        </w:tc>
        <w:tc>
          <w:tcPr>
            <w:tcW w:w="4335" w:type="dxa"/>
            <w:tcBorders>
              <w:top w:val="nil"/>
              <w:left w:val="nil"/>
              <w:bottom w:val="nil"/>
              <w:right w:val="nil"/>
            </w:tcBorders>
            <w:tcMar>
              <w:top w:w="0" w:type="dxa"/>
              <w:left w:w="0" w:type="dxa"/>
              <w:bottom w:w="0" w:type="dxa"/>
              <w:right w:w="0" w:type="dxa"/>
            </w:tcMar>
          </w:tcPr>
          <w:p w:rsidR="00750EF6" w:rsidRDefault="002B2CD6">
            <w:pPr>
              <w:spacing w:line="240" w:lineRule="auto"/>
            </w:pPr>
            <w:r>
              <w:t xml:space="preserve">Distinguishes between making a choice for oneself versus evaluating for someone else (third-person perspective). </w:t>
            </w:r>
          </w:p>
        </w:tc>
        <w:tc>
          <w:tcPr>
            <w:tcW w:w="3093" w:type="dxa"/>
            <w:tcBorders>
              <w:top w:val="nil"/>
              <w:left w:val="nil"/>
              <w:bottom w:val="nil"/>
              <w:right w:val="nil"/>
            </w:tcBorders>
            <w:tcMar>
              <w:top w:w="0" w:type="dxa"/>
              <w:left w:w="0" w:type="dxa"/>
              <w:bottom w:w="0" w:type="dxa"/>
              <w:right w:w="0" w:type="dxa"/>
            </w:tcMar>
          </w:tcPr>
          <w:p w:rsidR="00750EF6" w:rsidRDefault="002B2CD6">
            <w:pPr>
              <w:spacing w:line="240" w:lineRule="auto"/>
            </w:pPr>
            <w:r>
              <w:t xml:space="preserve">Self-focused: Drink, Jacket, Play, Gym, Plane </w:t>
            </w:r>
          </w:p>
          <w:p w:rsidR="00750EF6" w:rsidRDefault="002B2CD6">
            <w:pPr>
              <w:spacing w:line="240" w:lineRule="auto"/>
            </w:pPr>
            <w:r>
              <w:t xml:space="preserve"> </w:t>
            </w:r>
          </w:p>
          <w:p w:rsidR="00750EF6" w:rsidRDefault="002B2CD6">
            <w:pPr>
              <w:spacing w:line="240" w:lineRule="auto"/>
            </w:pPr>
            <w:r>
              <w:t xml:space="preserve">Other-focused: </w:t>
            </w:r>
            <w:proofErr w:type="spellStart"/>
            <w:r>
              <w:t>MrAB</w:t>
            </w:r>
            <w:proofErr w:type="spellEnd"/>
          </w:p>
        </w:tc>
      </w:tr>
      <w:tr w:rsidR="00750EF6">
        <w:trPr>
          <w:trHeight w:val="2614"/>
        </w:trPr>
        <w:tc>
          <w:tcPr>
            <w:tcW w:w="1785" w:type="dxa"/>
            <w:tcBorders>
              <w:top w:val="nil"/>
              <w:left w:val="nil"/>
              <w:bottom w:val="single" w:sz="8" w:space="0" w:color="000000"/>
              <w:right w:val="nil"/>
            </w:tcBorders>
            <w:tcMar>
              <w:top w:w="0" w:type="dxa"/>
              <w:left w:w="0" w:type="dxa"/>
              <w:bottom w:w="0" w:type="dxa"/>
              <w:right w:w="0" w:type="dxa"/>
            </w:tcMar>
          </w:tcPr>
          <w:p w:rsidR="00750EF6" w:rsidRDefault="002B2CD6">
            <w:pPr>
              <w:spacing w:line="240" w:lineRule="auto"/>
            </w:pPr>
            <w:r>
              <w:t xml:space="preserve">3. Role in Price Determination </w:t>
            </w:r>
          </w:p>
        </w:tc>
        <w:tc>
          <w:tcPr>
            <w:tcW w:w="4335" w:type="dxa"/>
            <w:tcBorders>
              <w:top w:val="nil"/>
              <w:left w:val="nil"/>
              <w:bottom w:val="single" w:sz="8" w:space="0" w:color="000000"/>
              <w:right w:val="nil"/>
            </w:tcBorders>
            <w:tcMar>
              <w:top w:w="0" w:type="dxa"/>
              <w:left w:w="0" w:type="dxa"/>
              <w:bottom w:w="0" w:type="dxa"/>
              <w:right w:w="0" w:type="dxa"/>
            </w:tcMar>
          </w:tcPr>
          <w:p w:rsidR="00750EF6" w:rsidRDefault="002B2CD6">
            <w:pPr>
              <w:spacing w:line="240" w:lineRule="auto"/>
            </w:pPr>
            <w:r>
              <w:t xml:space="preserve">Reflects the participant's agency in the financial transaction, ranging from setting a price to reacting to a fixed price. </w:t>
            </w:r>
          </w:p>
        </w:tc>
        <w:tc>
          <w:tcPr>
            <w:tcW w:w="3093" w:type="dxa"/>
            <w:tcBorders>
              <w:top w:val="nil"/>
              <w:left w:val="nil"/>
              <w:bottom w:val="single" w:sz="8" w:space="0" w:color="000000"/>
              <w:right w:val="nil"/>
            </w:tcBorders>
            <w:tcMar>
              <w:top w:w="0" w:type="dxa"/>
              <w:left w:w="0" w:type="dxa"/>
              <w:bottom w:w="0" w:type="dxa"/>
              <w:right w:w="0" w:type="dxa"/>
            </w:tcMar>
          </w:tcPr>
          <w:p w:rsidR="00750EF6" w:rsidRDefault="002B2CD6">
            <w:pPr>
              <w:spacing w:line="240" w:lineRule="auto"/>
            </w:pPr>
            <w:r>
              <w:t xml:space="preserve">Active (Setting price): Game, Drink </w:t>
            </w:r>
            <w:r>
              <w:br/>
              <w:t xml:space="preserve"> </w:t>
            </w:r>
          </w:p>
          <w:p w:rsidR="00750EF6" w:rsidRDefault="002B2CD6">
            <w:pPr>
              <w:spacing w:line="240" w:lineRule="auto"/>
            </w:pPr>
            <w:r>
              <w:t xml:space="preserve">Evaluative (Choosing/Evaluating): Gym, Plane </w:t>
            </w:r>
            <w:r>
              <w:br/>
              <w:t xml:space="preserve"> </w:t>
            </w:r>
          </w:p>
          <w:p w:rsidR="00750EF6" w:rsidRDefault="002B2CD6">
            <w:pPr>
              <w:spacing w:line="240" w:lineRule="auto"/>
            </w:pPr>
            <w:r>
              <w:t xml:space="preserve">Passive (Responding to Fixed Price): Play, Jacket </w:t>
            </w:r>
          </w:p>
        </w:tc>
      </w:tr>
    </w:tbl>
    <w:p w:rsidR="00750EF6" w:rsidRDefault="00750EF6">
      <w:pPr>
        <w:spacing w:after="240"/>
        <w:ind w:right="0"/>
        <w:jc w:val="both"/>
      </w:pPr>
    </w:p>
    <w:p w:rsidR="00750EF6" w:rsidRDefault="00750EF6">
      <w:pPr>
        <w:jc w:val="center"/>
      </w:pPr>
    </w:p>
    <w:p w:rsidR="00750EF6" w:rsidRDefault="00750EF6">
      <w:pPr>
        <w:spacing w:before="240" w:after="240"/>
        <w:ind w:right="0" w:firstLine="720"/>
      </w:pPr>
    </w:p>
    <w:p w:rsidR="00750EF6" w:rsidRDefault="002B2CD6">
      <w:pPr>
        <w:jc w:val="center"/>
        <w:rPr>
          <w:b/>
          <w:bCs/>
        </w:rPr>
      </w:pPr>
      <w:r>
        <w:rPr>
          <w:b/>
          <w:bCs/>
        </w:rPr>
        <w:t>FIGURE 3</w:t>
      </w:r>
    </w:p>
    <w:p w:rsidR="00750EF6" w:rsidRDefault="002B2CD6">
      <w:pPr>
        <w:jc w:val="center"/>
      </w:pPr>
      <w:r>
        <w:t>THREE-DIMENSIONAL STRUCTURE OF MENTAL ACCOUNTING SCENARIOS</w:t>
      </w:r>
    </w:p>
    <w:p w:rsidR="00750EF6" w:rsidRDefault="002B2CD6">
      <w:pPr>
        <w:rPr>
          <w:b/>
          <w:bCs/>
        </w:rPr>
      </w:pPr>
      <w:r>
        <w:rPr>
          <w:b/>
          <w:bCs/>
          <w:noProof/>
        </w:rPr>
        <w:lastRenderedPageBreak/>
        <w:drawing>
          <wp:inline distT="114300" distB="114300" distL="114300" distR="114300">
            <wp:extent cx="5943600" cy="8331200"/>
            <wp:effectExtent l="0" t="0" r="0" b="0"/>
            <wp:docPr id="18362367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8331200"/>
                    </a:xfrm>
                    <a:prstGeom prst="rect">
                      <a:avLst/>
                    </a:prstGeom>
                    <a:ln/>
                  </pic:spPr>
                </pic:pic>
              </a:graphicData>
            </a:graphic>
          </wp:inline>
        </w:drawing>
      </w:r>
    </w:p>
    <w:p w:rsidR="00750EF6" w:rsidRDefault="002B2CD6">
      <w:bookmarkStart w:id="24" w:name="_heading=h.lfiiajjtv21x" w:colFirst="0" w:colLast="0"/>
      <w:bookmarkEnd w:id="24"/>
      <w:r>
        <w:lastRenderedPageBreak/>
        <w:t xml:space="preserve">NOTE. (A) Individual-level analysis. Left: meta-analyzed within-person correlation matrix across the seven mental accounting scenarios (combining </w:t>
      </w:r>
      <w:proofErr w:type="spellStart"/>
      <w:r>
        <w:t>MrAB</w:t>
      </w:r>
      <w:proofErr w:type="spellEnd"/>
      <w:r>
        <w:t xml:space="preserve"> gain and loss). Significance: *</w:t>
      </w:r>
      <w:r>
        <w:rPr>
          <w:i/>
          <w:iCs/>
        </w:rPr>
        <w:t>p</w:t>
      </w:r>
      <w:r>
        <w:t xml:space="preserve"> &lt; .05, **</w:t>
      </w:r>
      <w:r>
        <w:rPr>
          <w:i/>
          <w:iCs/>
        </w:rPr>
        <w:t>p</w:t>
      </w:r>
      <w:r>
        <w:t xml:space="preserve"> &lt; .01, ***</w:t>
      </w:r>
      <w:r>
        <w:rPr>
          <w:i/>
          <w:iCs/>
        </w:rPr>
        <w:t>p</w:t>
      </w:r>
      <w:r>
        <w:t xml:space="preserve"> &lt; .001. Right: partial R² decomposition showing each predictor scenario's contribution to the total variance explained when predicting each target from all others (mixed-effects models with country random intercepts; drop-one ΔR² approach, normalized). (B) Country-level analysis. Left: Pearson correlation matrix of country-level effect sizes. Right: partial R² decomposition (LMG method). (C) Multidimensional scaling (MDS) based on Euclidean distances between standardized country-level effect sizes. The three-dimensional solution explained 78.3% of the total variance. Left: Dimension 1 (social context; 34.3%) × Dimension 2 (decision perspective; 26.9%). Right: Dimension 1 × Dimension 3 (role in price determination; 17.1%). Insets show the full three-dimensional configuration. Numerical coordinates are reported in table 8 of the web appendix.</w:t>
      </w:r>
    </w:p>
    <w:p w:rsidR="00750EF6" w:rsidRDefault="00750EF6">
      <w:bookmarkStart w:id="25" w:name="_heading=h.4ojno0wlnaru" w:colFirst="0" w:colLast="0"/>
      <w:bookmarkEnd w:id="25"/>
    </w:p>
    <w:p w:rsidR="00750EF6" w:rsidRDefault="00750EF6"/>
    <w:p w:rsidR="00750EF6" w:rsidRDefault="002B2CD6">
      <w:pPr>
        <w:jc w:val="center"/>
        <w:rPr>
          <w:b/>
          <w:bCs/>
        </w:rPr>
      </w:pPr>
      <w:bookmarkStart w:id="26" w:name="_heading=h.kxfatohnzlbu" w:colFirst="0" w:colLast="0"/>
      <w:bookmarkEnd w:id="26"/>
      <w:r>
        <w:rPr>
          <w:b/>
          <w:bCs/>
        </w:rPr>
        <w:t>DISCUSSION</w:t>
      </w:r>
    </w:p>
    <w:p w:rsidR="00750EF6" w:rsidRDefault="00750EF6">
      <w:pPr>
        <w:rPr>
          <w:smallCaps/>
          <w:color w:val="000000"/>
        </w:rPr>
      </w:pPr>
    </w:p>
    <w:p w:rsidR="00750EF6" w:rsidRDefault="002B2CD6">
      <w:pPr>
        <w:ind w:firstLine="720"/>
      </w:pPr>
      <w:r>
        <w:t xml:space="preserve">Mental accounting is a foundational framework model in the behavioral and economic sciences, which has influenced hundreds of studies and driven numerous real-world applications across businesses, nonprofits, and governmental agencies. Though widely accepted, it has now been decades since much of the work was initially produced. At present, there is widespread and growing recognition of the need to determine the extent to which such insights apply more globally across diverse populations (Arnett 2008; Henrich, </w:t>
      </w:r>
      <w:proofErr w:type="spellStart"/>
      <w:r>
        <w:t>Ensminger</w:t>
      </w:r>
      <w:proofErr w:type="spellEnd"/>
      <w:r>
        <w:t xml:space="preserve">, et al. 2010; Henrich, Heine, et al. 2010; Ioannidis 2005; Krishna 2021; </w:t>
      </w:r>
      <w:proofErr w:type="spellStart"/>
      <w:r>
        <w:t>Loken</w:t>
      </w:r>
      <w:proofErr w:type="spellEnd"/>
      <w:r>
        <w:t xml:space="preserve"> </w:t>
      </w:r>
      <w:r>
        <w:lastRenderedPageBreak/>
        <w:t xml:space="preserve">and Gelman 2017; </w:t>
      </w:r>
      <w:proofErr w:type="spellStart"/>
      <w:r>
        <w:t>Munafò</w:t>
      </w:r>
      <w:proofErr w:type="spellEnd"/>
      <w:r>
        <w:t xml:space="preserve"> et al. 2017; Open Science Collaboration 2015; Simmons et al. 2011; Simonsohn et al. 2014). Applying a rigorous standard for sampling and methods will support insights to this end.</w:t>
      </w:r>
    </w:p>
    <w:p w:rsidR="00750EF6" w:rsidRDefault="002B2CD6">
      <w:pPr>
        <w:ind w:firstLine="720"/>
      </w:pPr>
      <w:r>
        <w:t xml:space="preserve">Responding to such a need, our study makes three key contributions. First, we replicated seven core scenarios related to mental accounting (Kahneman and Tversky 1982; </w:t>
      </w:r>
      <w:proofErr w:type="spellStart"/>
      <w:r>
        <w:t>Shafir</w:t>
      </w:r>
      <w:proofErr w:type="spellEnd"/>
      <w:r>
        <w:t xml:space="preserve"> and Thaler 2006; Thaler 1985; Tversky and Kahneman 1981), </w:t>
      </w:r>
      <w:r>
        <w:rPr>
          <w:color w:val="000000"/>
        </w:rPr>
        <w:t>while e</w:t>
      </w:r>
      <w:r>
        <w:t xml:space="preserve">xtending its findings to a broader set of countries. We demonstrated that mental accounting effects are robust and, crucially, that they were observed in all countries, including those rarely studied in marketing, psychology, and other behavioral sciences. Our replication involved over 5,500 participants from 21 countries, thereby providing strong evidence in support of this model, which has played a central role in shaping our understanding of how consumers manage money and make </w:t>
      </w:r>
      <w:r>
        <w:rPr>
          <w:color w:val="000000"/>
        </w:rPr>
        <w:t xml:space="preserve">economic decisions. Adapting the original scenarios to </w:t>
      </w:r>
      <w:r>
        <w:t>enhance</w:t>
      </w:r>
      <w:r>
        <w:rPr>
          <w:color w:val="000000"/>
        </w:rPr>
        <w:t xml:space="preserve"> inclusivity and comprehensibility allowed our replication to show that mental accounting is pervasive and replicates over time and </w:t>
      </w:r>
      <w:r>
        <w:t>across</w:t>
      </w:r>
      <w:r>
        <w:rPr>
          <w:color w:val="000000"/>
        </w:rPr>
        <w:t xml:space="preserve"> cultures. Indeed, results revealed remarkable similarities across countries and </w:t>
      </w:r>
      <w:r>
        <w:t>an attenuation of the effect sizes</w:t>
      </w:r>
      <w:r>
        <w:rPr>
          <w:color w:val="000000"/>
        </w:rPr>
        <w:t xml:space="preserve">. </w:t>
      </w:r>
      <w:r>
        <w:t xml:space="preserve">In planning our replication, we selected scenarios that represented the heterogeneity of effects associated with mental accounting (e.g., transaction utility, framing of outcomes, sunk costs) while maintaining consistency and focusing mainly on how different economic situations are presented to consumers. </w:t>
      </w:r>
    </w:p>
    <w:p w:rsidR="00750EF6" w:rsidRDefault="002B2CD6">
      <w:pPr>
        <w:ind w:firstLine="720"/>
      </w:pPr>
      <w:r>
        <w:t xml:space="preserve">Second, we contribute to the mental accounting literature by systematically assessing other factors that potentially influence this effect. Beyond the importance of replicating the original findings, the lack of a significant moderating effect of financial literacy on mental accounting suggests that this model applies broadly. Similarly, demographic factors such as </w:t>
      </w:r>
      <w:r>
        <w:lastRenderedPageBreak/>
        <w:t>age, education, and household income did not influence mental accounting, indicating that its effects are consistent across diverse consumer groups. To account for potential correlations among these factors, we tested them both independently and concurrently, yet their impact on mental accounting remained negligible. We observed similar results in a Causal Forest analysis performed to further explore heterogeneous treatment effects (see Section 5 in web appendix). This again reinforces the conclusion that these demographic variables do not play a meaningful role in explaining our results.</w:t>
      </w:r>
    </w:p>
    <w:p w:rsidR="00750EF6" w:rsidRDefault="002B2CD6">
      <w:pPr>
        <w:ind w:firstLine="720"/>
      </w:pPr>
      <w:r>
        <w:t>We did observe some variability at the country level, with mental accounting effects relating positively and non-linearly to GDP per capita. Specifically, we found the association between GDP per capita and mental accounting only up to a level of $50,000. While this is an exploratory finding and should be understood with appropriate caution, it is compelling. We considered, for example, that GDP per capita could be a proxy for other country-level differences, such as a country’s democracy, inequality levels, or the specific currency denominations (</w:t>
      </w:r>
      <w:proofErr w:type="spellStart"/>
      <w:r>
        <w:t>Antonides</w:t>
      </w:r>
      <w:proofErr w:type="spellEnd"/>
      <w:r>
        <w:t xml:space="preserve"> and </w:t>
      </w:r>
      <w:proofErr w:type="spellStart"/>
      <w:r>
        <w:t>Ranyard</w:t>
      </w:r>
      <w:proofErr w:type="spellEnd"/>
      <w:r>
        <w:t xml:space="preserve"> 2017; </w:t>
      </w:r>
      <w:proofErr w:type="spellStart"/>
      <w:r>
        <w:t>Raghubir</w:t>
      </w:r>
      <w:proofErr w:type="spellEnd"/>
      <w:r>
        <w:t xml:space="preserve"> 2006; </w:t>
      </w:r>
      <w:proofErr w:type="spellStart"/>
      <w:r>
        <w:t>Raghubir</w:t>
      </w:r>
      <w:proofErr w:type="spellEnd"/>
      <w:r>
        <w:t xml:space="preserve"> and Srivastava 2009; </w:t>
      </w:r>
      <w:proofErr w:type="spellStart"/>
      <w:r>
        <w:t>Reutskaja</w:t>
      </w:r>
      <w:proofErr w:type="spellEnd"/>
      <w:r>
        <w:t xml:space="preserve"> et al. 2020). We included these factors in the analyses but GDP per capita remained the only significant predictor of mental accounting. </w:t>
      </w:r>
    </w:p>
    <w:p w:rsidR="00750EF6" w:rsidRDefault="002B2CD6">
      <w:pPr>
        <w:ind w:firstLine="720"/>
      </w:pPr>
      <w:r>
        <w:t xml:space="preserve">We caution against presuming that the GDP per capita finding is evidence that wealth alone amplifies mental accounting; we also found that individual income does not consistently predict mental accounting within countries. Therefore, GDP per capita should not be interpreted as a causal factor, but may be better understood as a proxy for some other country-level characteristic, essentially the broader economic environment rather than singular indicators of wealth. </w:t>
      </w:r>
    </w:p>
    <w:p w:rsidR="00750EF6" w:rsidRDefault="002B2CD6">
      <w:pPr>
        <w:ind w:firstLine="720"/>
      </w:pPr>
      <w:r>
        <w:lastRenderedPageBreak/>
        <w:t xml:space="preserve">Despite our controls, it is possible that other omitted variables covary with GDP. For instance, differences in institutional trust or market integration may drive mental accounting principles in general or influence how these specific scenarios were understood. Moreover, methodological factors, such as the scaling of monetary amounts and the translation of scenarios, may not have maintained full psychological equivalence across different economic contexts. Finally, the stronger mental accounting effects in higher-income countries might reflect that these psychological tests were initially developed and validated in high-income per capita contexts, potentially making them more attuned to how people make financial decisions in more economically developed environments. </w:t>
      </w:r>
    </w:p>
    <w:p w:rsidR="00750EF6" w:rsidRDefault="002B2CD6">
      <w:pPr>
        <w:ind w:firstLine="720"/>
      </w:pPr>
      <w:r>
        <w:t xml:space="preserve">Third, we extend the mental accounting model by showing that the seven scenarios vary meaningfully in </w:t>
      </w:r>
      <w:proofErr w:type="gramStart"/>
      <w:r>
        <w:t>their</w:t>
      </w:r>
      <w:proofErr w:type="gramEnd"/>
      <w:r>
        <w:t xml:space="preserve"> between countries effect size patterns, clustering along three interpretable dimensions. While all scenarios measure effects related to mental accounting, they differ systematically in how financial decisions are framed. Specifically, the scenarios vary in terms of social context involvement (individual vs interactive decisions), decision perspective (self vs other), and role in price determination (setting vs evaluating prices). This multidimensional structure suggests that mental accounting effects are not uniform across scenario types, and that the decision context shapes how these effects manifest across countries. Recognizing these dimensions helps explain why some mental accounting effects are more robust than others and may inform the design of more targeted interventions for different types of financial decision-making. Future research should examine whether other mental accounting scenarios align with this three-dimensional framework or whether additional dimensions are needed. </w:t>
      </w:r>
    </w:p>
    <w:p w:rsidR="00750EF6" w:rsidRDefault="002B2CD6">
      <w:pPr>
        <w:ind w:firstLine="720"/>
      </w:pPr>
      <w:r>
        <w:lastRenderedPageBreak/>
        <w:t xml:space="preserve">Notably, these dimensions connect to established research traditions in consumer psychology. For instance, the third dimension (the role of price determination) aligns with the well-documented violations of procedure invariance (e.g., differences in people’s preferences across willingness-to-pay and choice tasks; Tversky, </w:t>
      </w:r>
      <w:proofErr w:type="spellStart"/>
      <w:r>
        <w:t>Slovic</w:t>
      </w:r>
      <w:proofErr w:type="spellEnd"/>
      <w:r>
        <w:t xml:space="preserve">, and Kahneman, 1990). Research on preference reversals has shown that pricing and choice elicitation methods engage different psychological processes and can yield systematically different preferences (Lichtenstein and </w:t>
      </w:r>
      <w:proofErr w:type="spellStart"/>
      <w:r>
        <w:t>Slovic</w:t>
      </w:r>
      <w:proofErr w:type="spellEnd"/>
      <w:r>
        <w:t xml:space="preserve">, 1971). Scenarios where participants must generate a price (e.g., </w:t>
      </w:r>
      <w:r>
        <w:rPr>
          <w:i/>
          <w:iCs/>
        </w:rPr>
        <w:t>Drink</w:t>
      </w:r>
      <w:r>
        <w:t xml:space="preserve">, </w:t>
      </w:r>
      <w:r>
        <w:rPr>
          <w:i/>
          <w:iCs/>
        </w:rPr>
        <w:t>Gym</w:t>
      </w:r>
      <w:r>
        <w:t xml:space="preserve">) versus evaluate fixed options (e.g., </w:t>
      </w:r>
      <w:r>
        <w:rPr>
          <w:i/>
          <w:iCs/>
        </w:rPr>
        <w:t>Jacket</w:t>
      </w:r>
      <w:r>
        <w:t xml:space="preserve">, </w:t>
      </w:r>
      <w:r>
        <w:rPr>
          <w:i/>
          <w:iCs/>
        </w:rPr>
        <w:t>Play</w:t>
      </w:r>
      <w:r>
        <w:t xml:space="preserve">) may tap into these different valuation processes, and the variation in effect sizes along this dimension is consistent with this possibility. That mental accounting scenarios naturally vary along the WTP–choice continuum suggests that the response mode may moderate the strength of mental accounting effects, a hypothesis that future research could directly test by manipulating the elicitation format within a single scenario. The first and second dimensions similarly connect to active research areas: social context in consumer decision-making (e.g., Argo, Dahl, and Manchanda, 2005) and self-other differences in judgment and choice (e.g., </w:t>
      </w:r>
      <w:proofErr w:type="spellStart"/>
      <w:r>
        <w:t>Polman</w:t>
      </w:r>
      <w:proofErr w:type="spellEnd"/>
      <w:r>
        <w:t>, 2012a, 2012b).</w:t>
      </w:r>
    </w:p>
    <w:p w:rsidR="00750EF6" w:rsidRDefault="00750EF6">
      <w:pPr>
        <w:ind w:firstLine="720"/>
      </w:pPr>
    </w:p>
    <w:p w:rsidR="00750EF6" w:rsidRDefault="002B2CD6">
      <w:bookmarkStart w:id="27" w:name="_heading=h.thahd7mpa0dj" w:colFirst="0" w:colLast="0"/>
      <w:bookmarkEnd w:id="27"/>
      <w:r>
        <w:t>Limitations and future directions</w:t>
      </w:r>
    </w:p>
    <w:p w:rsidR="00750EF6" w:rsidRDefault="00750EF6">
      <w:pPr>
        <w:ind w:firstLine="720"/>
      </w:pPr>
    </w:p>
    <w:p w:rsidR="00750EF6" w:rsidRDefault="002B2CD6">
      <w:pPr>
        <w:ind w:firstLine="720"/>
      </w:pPr>
      <w:r>
        <w:t xml:space="preserve">Our study does not encompass all mental accounting effects, and we cannot assume that untested findings will replicate as consistently as those we examined. Future research should extend these efforts by replicating additional scenarios, particularly those exploring </w:t>
      </w:r>
      <w:r>
        <w:lastRenderedPageBreak/>
        <w:t>how mental accounting helps consumers maintain self-control over their spending (Koch and Nafziger, 2016).</w:t>
      </w:r>
    </w:p>
    <w:p w:rsidR="00750EF6" w:rsidRDefault="002B2CD6">
      <w:pPr>
        <w:ind w:firstLine="720"/>
      </w:pPr>
      <w:r>
        <w:t>​​Another potential limitation of this work is the use of a within-subjects design, whereas mental accounting research has traditionally employed a between-subjects design, given that each condition presents a different version of the same scenario. As such, our results may be conservative estimates of the between-</w:t>
      </w:r>
      <w:proofErr w:type="gramStart"/>
      <w:r>
        <w:t>subjects</w:t>
      </w:r>
      <w:proofErr w:type="gramEnd"/>
      <w:r>
        <w:t xml:space="preserve"> effects. To address this, we carefully randomized the presentation of scenarios to ensure that participants did not see different versions of the same scenario consecutively. This approach follows a similar within-subjects replication of prospect theory effects, which were originally conducted as between-</w:t>
      </w:r>
      <w:proofErr w:type="gramStart"/>
      <w:r>
        <w:t>subjects</w:t>
      </w:r>
      <w:proofErr w:type="gramEnd"/>
      <w:r>
        <w:t xml:space="preserve"> experiments (Ruggeri et al., 2020). Additionally, we simulated a between-subjects design by randomly assigning participants to one condition, effectively treating the data as if it came from a between-subjects experiment. Even in this case, we replicated all mental accounting effects, further supporting the robustness of our results.</w:t>
      </w:r>
    </w:p>
    <w:p w:rsidR="00750EF6" w:rsidRDefault="002B2CD6">
      <w:pPr>
        <w:ind w:firstLine="720"/>
      </w:pPr>
      <w:r>
        <w:t xml:space="preserve">Our MDS analysis was conducted at the country level, using mean effect sizes per scenario within each country. This approach identifies which scenarios show similar patterns of between countries variability, that is, scenarios that are similarly affected by country-level factors such as GDP, cultural norms, or translation. Importantly, this does not necessarily imply that the same dimensional structure operates at the individual level. Aggregation to country means removing within-country individual variation, which constitutes the majority of the total variance. The weak within-person correlations across scenarios are consistent with this conclusion: scenarios that covary between countries do not necessarily covary across individuals within countries. </w:t>
      </w:r>
    </w:p>
    <w:p w:rsidR="00750EF6" w:rsidRDefault="002B2CD6">
      <w:pPr>
        <w:ind w:firstLine="720"/>
      </w:pPr>
      <w:r>
        <w:lastRenderedPageBreak/>
        <w:t xml:space="preserve">This is critical for real-world applications: while behavioral sciences largely promote individual choice autonomy, concepts such as mental accounting, loss aversion, and temporal discounting are typically better observed in the aggregate (i.e., full populations). Attempts to corral, leverage, or prevent harms of such choice patterns may thus be limited in value and effect when applied only at the level of an individual; aggregate effects of such policy may be valuable but also overstate individual benefits to consumers (see Consumer Financial Protection Bureau 2013). Broader system-level thinking will be necessary to promote wider value to individuals (Thomas, Kay and Laurin 2023). </w:t>
      </w:r>
    </w:p>
    <w:p w:rsidR="00750EF6" w:rsidRDefault="002B2CD6">
      <w:pPr>
        <w:ind w:firstLine="720"/>
      </w:pPr>
      <w:r>
        <w:t>Additionally, because the MDS dimensions were derived from the effect sizes themselves, incorporating them as moderators of the same data would be circular. The alignment between the extracted dimensions and interpretable scenario features (particularly the WTP–choice distinction) generates testable predictions that future research could examine through experimental manipulation of these features within scenarios.</w:t>
      </w:r>
    </w:p>
    <w:p w:rsidR="00750EF6" w:rsidRDefault="002B2CD6">
      <w:pPr>
        <w:ind w:firstLine="720"/>
      </w:pPr>
      <w:r>
        <w:t xml:space="preserve">We also acknowledge that our approach to minimizing bias through extensive randomization and broad data collection resulted in demographic samples with varying representativeness. Due to budget constraints on participant compensation, we employed convenience sampling to gather a large and diverse sample. To reduce self-selection bias, however, we implemented the </w:t>
      </w:r>
      <w:proofErr w:type="spellStart"/>
      <w:r>
        <w:t>Demić</w:t>
      </w:r>
      <w:proofErr w:type="spellEnd"/>
      <w:r>
        <w:t>–</w:t>
      </w:r>
      <w:proofErr w:type="spellStart"/>
      <w:r>
        <w:t>Većkalov</w:t>
      </w:r>
      <w:proofErr w:type="spellEnd"/>
      <w:r>
        <w:t xml:space="preserve"> method, which has been used in previous large-scale studies (Ruggeri et al., 2020; 2022).</w:t>
      </w:r>
    </w:p>
    <w:p w:rsidR="00750EF6" w:rsidRDefault="002B2CD6">
      <w:pPr>
        <w:ind w:firstLine="720"/>
        <w:rPr>
          <w:color w:val="000000"/>
        </w:rPr>
      </w:pPr>
      <w:r>
        <w:rPr>
          <w:color w:val="000000"/>
        </w:rPr>
        <w:t>Our results offer reassurance for the mental-accounting-based policies already implemented while providing a reliable base to create new ones, for instance, to help citizens better deal with debt management or fraudulent financial practices.</w:t>
      </w:r>
      <w:r>
        <w:t xml:space="preserve"> Product designers and policymakers could use this insight to design interventions that encourage better credit </w:t>
      </w:r>
      <w:r>
        <w:lastRenderedPageBreak/>
        <w:t xml:space="preserve">management, such as structuring repayment platforms to promote principal reduction through highlighting the benefits of small-but-meaningful payment increases or bundling smaller debts to reduce perceived burden. </w:t>
      </w:r>
      <w:r>
        <w:rPr>
          <w:color w:val="000000"/>
        </w:rPr>
        <w:t xml:space="preserve">Similarly, policies could require home banking apps </w:t>
      </w:r>
      <w:r>
        <w:t xml:space="preserve">to </w:t>
      </w:r>
      <w:r>
        <w:rPr>
          <w:color w:val="000000"/>
        </w:rPr>
        <w:t xml:space="preserve">factor in and leverage mental accounting to </w:t>
      </w:r>
      <w:r>
        <w:t xml:space="preserve">ensure </w:t>
      </w:r>
      <w:r>
        <w:rPr>
          <w:color w:val="000000"/>
        </w:rPr>
        <w:t xml:space="preserve">customers understand how to manage their savings and </w:t>
      </w:r>
      <w:r>
        <w:t xml:space="preserve">enable avoidance of </w:t>
      </w:r>
      <w:r>
        <w:rPr>
          <w:color w:val="000000"/>
        </w:rPr>
        <w:t>expenses</w:t>
      </w:r>
      <w:r>
        <w:t xml:space="preserve"> </w:t>
      </w:r>
      <w:r>
        <w:rPr>
          <w:color w:val="000000"/>
        </w:rPr>
        <w:t xml:space="preserve">that impede </w:t>
      </w:r>
      <w:r>
        <w:t>optimal savings</w:t>
      </w:r>
      <w:r>
        <w:rPr>
          <w:color w:val="000000"/>
        </w:rPr>
        <w:t xml:space="preserve">. </w:t>
      </w:r>
    </w:p>
    <w:p w:rsidR="00750EF6" w:rsidRDefault="002B2CD6">
      <w:pPr>
        <w:ind w:firstLine="720"/>
      </w:pPr>
      <w:r>
        <w:rPr>
          <w:color w:val="000000"/>
        </w:rPr>
        <w:t>Although we</w:t>
      </w:r>
      <w:r>
        <w:t xml:space="preserve"> replicated mental accounting in all countries included in this work, we did find some differences, especially among countries with lower income levels. As a result, and in line with the nudging approach to policy-making (Thaler and Sunstein 2021), we caution that any real-world applications should be properly tested before large-scale interventions are put in place in a given context, regardless of their successful adoption elsewhere.</w:t>
      </w:r>
    </w:p>
    <w:p w:rsidR="00750EF6" w:rsidRDefault="002B2CD6">
      <w:pPr>
        <w:ind w:firstLine="720"/>
        <w:rPr>
          <w:b/>
          <w:bCs/>
        </w:rPr>
      </w:pPr>
      <w:r>
        <w:rPr>
          <w:b/>
          <w:bCs/>
        </w:rPr>
        <w:t>Conclusion</w:t>
      </w:r>
    </w:p>
    <w:p w:rsidR="00750EF6" w:rsidRDefault="002B2CD6">
      <w:pPr>
        <w:ind w:firstLine="720"/>
        <w:rPr>
          <w:b/>
          <w:bCs/>
        </w:rPr>
      </w:pPr>
      <w:r>
        <w:t>In this study</w:t>
      </w:r>
      <w:r>
        <w:rPr>
          <w:color w:val="000000"/>
        </w:rPr>
        <w:t xml:space="preserve">, we provide robust evidence that mental accounting is a global and pervasive behavioral phenomenon, </w:t>
      </w:r>
      <w:r>
        <w:t>replicating</w:t>
      </w:r>
      <w:r>
        <w:rPr>
          <w:color w:val="000000"/>
        </w:rPr>
        <w:t xml:space="preserve"> the original findings and extending them to a larger, more diverse participant sample. The results revealed </w:t>
      </w:r>
      <w:r>
        <w:t>an</w:t>
      </w:r>
      <w:r>
        <w:rPr>
          <w:color w:val="000000"/>
        </w:rPr>
        <w:t xml:space="preserve"> attenuation of the effect sizes and remarkable </w:t>
      </w:r>
      <w:r>
        <w:t xml:space="preserve">between-country </w:t>
      </w:r>
      <w:r>
        <w:rPr>
          <w:color w:val="000000"/>
        </w:rPr>
        <w:t xml:space="preserve">similarities. We also </w:t>
      </w:r>
      <w:r>
        <w:t>uncovered a three-dimensional structure of the mental accounting effects, offering new nuance and insight to the consumer behavior literature. Finally, we also explored the role of a nation-level wealth, showing that mental accounting effects are similarly strong in countries with higher-income levels, but weaker as income levels decrease in our broad sample of 21 countries.</w:t>
      </w:r>
      <w:r>
        <w:br w:type="page"/>
      </w:r>
    </w:p>
    <w:p w:rsidR="00750EF6" w:rsidRDefault="002B2CD6">
      <w:pPr>
        <w:jc w:val="center"/>
        <w:rPr>
          <w:b/>
          <w:bCs/>
        </w:rPr>
      </w:pPr>
      <w:bookmarkStart w:id="28" w:name="_heading=h.jshspl39q3te" w:colFirst="0" w:colLast="0"/>
      <w:bookmarkEnd w:id="28"/>
      <w:r>
        <w:rPr>
          <w:b/>
          <w:bCs/>
        </w:rPr>
        <w:lastRenderedPageBreak/>
        <w:t>REFERENCES</w:t>
      </w:r>
    </w:p>
    <w:p w:rsidR="00750EF6" w:rsidRDefault="00750EF6"/>
    <w:p w:rsidR="00750EF6" w:rsidRDefault="002B2CD6">
      <w:pPr>
        <w:pBdr>
          <w:top w:val="nil"/>
          <w:left w:val="nil"/>
          <w:bottom w:val="nil"/>
          <w:right w:val="nil"/>
          <w:between w:val="nil"/>
        </w:pBdr>
        <w:spacing w:after="240"/>
        <w:ind w:left="720" w:right="0" w:hanging="720"/>
        <w:rPr>
          <w:color w:val="000000"/>
        </w:rPr>
      </w:pPr>
      <w:proofErr w:type="spellStart"/>
      <w:r>
        <w:rPr>
          <w:color w:val="000000"/>
        </w:rPr>
        <w:t>Abeler</w:t>
      </w:r>
      <w:proofErr w:type="spellEnd"/>
      <w:r>
        <w:rPr>
          <w:color w:val="000000"/>
        </w:rPr>
        <w:t xml:space="preserve">, Johannes and Felix </w:t>
      </w:r>
      <w:proofErr w:type="spellStart"/>
      <w:r>
        <w:rPr>
          <w:color w:val="000000"/>
        </w:rPr>
        <w:t>Marklein</w:t>
      </w:r>
      <w:proofErr w:type="spellEnd"/>
      <w:r>
        <w:rPr>
          <w:color w:val="000000"/>
        </w:rPr>
        <w:t xml:space="preserve"> (2017), “Fungibility, Labels, and Consumption,” </w:t>
      </w:r>
      <w:r>
        <w:rPr>
          <w:i/>
          <w:iCs/>
          <w:color w:val="000000"/>
        </w:rPr>
        <w:t>Journal of the European Economic Association</w:t>
      </w:r>
      <w:r>
        <w:rPr>
          <w:color w:val="000000"/>
        </w:rPr>
        <w:t>, 15(1), 99–127</w:t>
      </w:r>
      <w:r>
        <w:t>.</w:t>
      </w:r>
    </w:p>
    <w:p w:rsidR="00750EF6" w:rsidRDefault="002B2CD6">
      <w:pPr>
        <w:pBdr>
          <w:top w:val="nil"/>
          <w:left w:val="nil"/>
          <w:bottom w:val="nil"/>
          <w:right w:val="nil"/>
          <w:between w:val="nil"/>
        </w:pBdr>
        <w:spacing w:after="240"/>
        <w:ind w:left="720" w:right="0" w:hanging="720"/>
      </w:pPr>
      <w:proofErr w:type="spellStart"/>
      <w:r>
        <w:t>Altmejd</w:t>
      </w:r>
      <w:proofErr w:type="spellEnd"/>
      <w:r>
        <w:t xml:space="preserve">, Adam, Anna </w:t>
      </w:r>
      <w:proofErr w:type="spellStart"/>
      <w:r>
        <w:t>Dreber</w:t>
      </w:r>
      <w:proofErr w:type="spellEnd"/>
      <w:r>
        <w:t xml:space="preserve">, Erik </w:t>
      </w:r>
      <w:proofErr w:type="spellStart"/>
      <w:r>
        <w:t>Forsell</w:t>
      </w:r>
      <w:proofErr w:type="spellEnd"/>
      <w:r>
        <w:t xml:space="preserve">, Jürgen Huber, Taisuke Imai, Magnus </w:t>
      </w:r>
      <w:proofErr w:type="spellStart"/>
      <w:r>
        <w:t>Johannesson</w:t>
      </w:r>
      <w:proofErr w:type="spellEnd"/>
      <w:r>
        <w:t xml:space="preserve">, et al. (2019), “Predicting the Replicability of Social Science Lab Experiments,” </w:t>
      </w:r>
      <w:r>
        <w:rPr>
          <w:i/>
          <w:iCs/>
        </w:rPr>
        <w:t>PLOS ONE</w:t>
      </w:r>
      <w:r>
        <w:t>, 14(12), e0225826.</w:t>
      </w:r>
    </w:p>
    <w:p w:rsidR="00750EF6" w:rsidRDefault="002B2CD6">
      <w:pPr>
        <w:pBdr>
          <w:top w:val="nil"/>
          <w:left w:val="nil"/>
          <w:bottom w:val="nil"/>
          <w:right w:val="nil"/>
          <w:between w:val="nil"/>
        </w:pBdr>
        <w:spacing w:after="240"/>
        <w:ind w:left="720" w:right="0" w:hanging="720"/>
        <w:rPr>
          <w:color w:val="000000"/>
        </w:rPr>
      </w:pPr>
      <w:proofErr w:type="spellStart"/>
      <w:r>
        <w:rPr>
          <w:color w:val="000000"/>
        </w:rPr>
        <w:t>Antonides</w:t>
      </w:r>
      <w:proofErr w:type="spellEnd"/>
      <w:r>
        <w:rPr>
          <w:color w:val="000000"/>
        </w:rPr>
        <w:t xml:space="preserve">, Gerrit and Rob </w:t>
      </w:r>
      <w:proofErr w:type="spellStart"/>
      <w:r>
        <w:rPr>
          <w:color w:val="000000"/>
        </w:rPr>
        <w:t>Ranyard</w:t>
      </w:r>
      <w:proofErr w:type="spellEnd"/>
      <w:r>
        <w:rPr>
          <w:color w:val="000000"/>
        </w:rPr>
        <w:t xml:space="preserve"> (2017), “Mental Accounting and Economic </w:t>
      </w:r>
      <w:proofErr w:type="spellStart"/>
      <w:r>
        <w:rPr>
          <w:color w:val="000000"/>
        </w:rPr>
        <w:t>Behaviour</w:t>
      </w:r>
      <w:proofErr w:type="spellEnd"/>
      <w:r>
        <w:rPr>
          <w:color w:val="000000"/>
        </w:rPr>
        <w:t xml:space="preserve">,” in </w:t>
      </w:r>
      <w:r>
        <w:rPr>
          <w:i/>
          <w:iCs/>
          <w:color w:val="000000"/>
        </w:rPr>
        <w:t>Economic Psychology</w:t>
      </w:r>
      <w:r>
        <w:rPr>
          <w:color w:val="000000"/>
        </w:rPr>
        <w:t>, John Wiley &amp; Sons, Ltd, 123–38</w:t>
      </w:r>
      <w:r>
        <w:t>.</w:t>
      </w:r>
    </w:p>
    <w:p w:rsidR="00750EF6" w:rsidRDefault="002B2CD6">
      <w:pPr>
        <w:pBdr>
          <w:top w:val="nil"/>
          <w:left w:val="nil"/>
          <w:bottom w:val="nil"/>
          <w:right w:val="nil"/>
          <w:between w:val="nil"/>
        </w:pBdr>
        <w:spacing w:after="240"/>
        <w:ind w:left="720" w:right="0" w:hanging="720"/>
      </w:pPr>
      <w:r>
        <w:t xml:space="preserve">Argo, Jennifer J., Darren W. Dahl and Rajesh V. Manchanda (2005), “The Influence of a Mere Social Presence in a Retail Context,” </w:t>
      </w:r>
      <w:r>
        <w:rPr>
          <w:i/>
          <w:iCs/>
        </w:rPr>
        <w:t>Journal of Consumer Research</w:t>
      </w:r>
      <w:r>
        <w:t>, 32 (2), 207–12.</w:t>
      </w:r>
    </w:p>
    <w:p w:rsidR="00750EF6" w:rsidRDefault="002B2CD6">
      <w:pPr>
        <w:pBdr>
          <w:top w:val="nil"/>
          <w:left w:val="nil"/>
          <w:bottom w:val="nil"/>
          <w:right w:val="nil"/>
          <w:between w:val="nil"/>
        </w:pBdr>
        <w:spacing w:after="240"/>
        <w:ind w:left="720" w:right="0" w:hanging="720"/>
        <w:rPr>
          <w:color w:val="000000"/>
        </w:rPr>
      </w:pPr>
      <w:r>
        <w:rPr>
          <w:color w:val="000000"/>
        </w:rPr>
        <w:t xml:space="preserve">Arnett, Jeffrey J. (2008), “The Neglected 95%: Why American Psychology Needs to Become Less American,” </w:t>
      </w:r>
      <w:r>
        <w:rPr>
          <w:i/>
          <w:iCs/>
          <w:color w:val="000000"/>
        </w:rPr>
        <w:t>American Psychologist</w:t>
      </w:r>
      <w:r>
        <w:rPr>
          <w:color w:val="000000"/>
        </w:rPr>
        <w:t>, 63(7), 602–14.</w:t>
      </w:r>
    </w:p>
    <w:p w:rsidR="00750EF6" w:rsidRDefault="002B2CD6">
      <w:pPr>
        <w:pBdr>
          <w:top w:val="nil"/>
          <w:left w:val="nil"/>
          <w:bottom w:val="nil"/>
          <w:right w:val="nil"/>
          <w:between w:val="nil"/>
        </w:pBdr>
        <w:spacing w:after="240"/>
        <w:ind w:left="720" w:right="0" w:hanging="720"/>
      </w:pPr>
      <w:r>
        <w:t xml:space="preserve">Atlas, Sara A. and Daniel M. Bartels (2018), “Periodic Pricing and Perceived Contract Benefits,” </w:t>
      </w:r>
      <w:r>
        <w:rPr>
          <w:i/>
          <w:iCs/>
        </w:rPr>
        <w:t>Journal of Consumer Research</w:t>
      </w:r>
      <w:r>
        <w:t>, 45 (2), 350–64.</w:t>
      </w:r>
    </w:p>
    <w:p w:rsidR="00750EF6" w:rsidRDefault="002B2CD6">
      <w:pPr>
        <w:spacing w:before="240" w:after="240"/>
        <w:ind w:left="850" w:right="0" w:hanging="850"/>
      </w:pPr>
      <w:r>
        <w:t xml:space="preserve">Bai, R. (2023), “Impact of Financial Literacy, Mental Budgeting and Self Control on Financial Wellbeing: Mediating Impact of Investment Decision Making,” </w:t>
      </w:r>
      <w:r>
        <w:rPr>
          <w:i/>
          <w:iCs/>
        </w:rPr>
        <w:t>PLOS ONE</w:t>
      </w:r>
      <w:r>
        <w:t>, 18 (11), e0294466.</w:t>
      </w:r>
    </w:p>
    <w:p w:rsidR="00750EF6" w:rsidRDefault="002B2CD6">
      <w:pPr>
        <w:pBdr>
          <w:top w:val="nil"/>
          <w:left w:val="nil"/>
          <w:bottom w:val="nil"/>
          <w:right w:val="nil"/>
          <w:between w:val="nil"/>
        </w:pBdr>
        <w:spacing w:after="240"/>
        <w:ind w:left="720" w:right="0" w:hanging="720"/>
        <w:rPr>
          <w:color w:val="000000"/>
        </w:rPr>
      </w:pPr>
      <w:proofErr w:type="spellStart"/>
      <w:r>
        <w:rPr>
          <w:color w:val="000000"/>
        </w:rPr>
        <w:t>Barberis</w:t>
      </w:r>
      <w:proofErr w:type="spellEnd"/>
      <w:r>
        <w:rPr>
          <w:color w:val="000000"/>
        </w:rPr>
        <w:t xml:space="preserve">, Nicholas and Ming Huang (2001), “Mental Accounting, Loss Aversion, and Individual Stock Returns,” </w:t>
      </w:r>
      <w:r>
        <w:rPr>
          <w:i/>
          <w:iCs/>
          <w:color w:val="000000"/>
        </w:rPr>
        <w:t>The Journal of Finance</w:t>
      </w:r>
      <w:r>
        <w:rPr>
          <w:color w:val="000000"/>
        </w:rPr>
        <w:t>, 56(4), 1247–92</w:t>
      </w:r>
      <w:r>
        <w:t>.</w:t>
      </w:r>
    </w:p>
    <w:p w:rsidR="00750EF6" w:rsidRDefault="002B2CD6">
      <w:pPr>
        <w:pBdr>
          <w:top w:val="nil"/>
          <w:left w:val="nil"/>
          <w:bottom w:val="nil"/>
          <w:right w:val="nil"/>
          <w:between w:val="nil"/>
        </w:pBdr>
        <w:spacing w:after="240"/>
        <w:ind w:left="720" w:right="0" w:hanging="720"/>
      </w:pPr>
      <w:proofErr w:type="spellStart"/>
      <w:r>
        <w:lastRenderedPageBreak/>
        <w:t>Baucells</w:t>
      </w:r>
      <w:proofErr w:type="spellEnd"/>
      <w:r>
        <w:t xml:space="preserve">, Manel and </w:t>
      </w:r>
      <w:proofErr w:type="spellStart"/>
      <w:r>
        <w:t>Wändi</w:t>
      </w:r>
      <w:proofErr w:type="spellEnd"/>
      <w:r>
        <w:t xml:space="preserve"> </w:t>
      </w:r>
      <w:proofErr w:type="spellStart"/>
      <w:r>
        <w:t>Bruine</w:t>
      </w:r>
      <w:proofErr w:type="spellEnd"/>
      <w:r>
        <w:t xml:space="preserve"> de Bruin Hwang (2017), “A Model of Mental Accounting and Reference Price Adaptation,” </w:t>
      </w:r>
      <w:r>
        <w:rPr>
          <w:i/>
          <w:iCs/>
        </w:rPr>
        <w:t>Management Science</w:t>
      </w:r>
      <w:r>
        <w:t>, 63 (12), 4201–18.</w:t>
      </w:r>
    </w:p>
    <w:p w:rsidR="00750EF6" w:rsidRDefault="002B2CD6">
      <w:pPr>
        <w:pBdr>
          <w:top w:val="nil"/>
          <w:left w:val="nil"/>
          <w:bottom w:val="nil"/>
          <w:right w:val="nil"/>
          <w:between w:val="nil"/>
        </w:pBdr>
        <w:spacing w:after="240"/>
        <w:ind w:left="720" w:right="0" w:hanging="720"/>
      </w:pPr>
      <w:r>
        <w:t xml:space="preserve">Cheng, Alex and Carey K. </w:t>
      </w:r>
      <w:proofErr w:type="spellStart"/>
      <w:r>
        <w:t>Cryder</w:t>
      </w:r>
      <w:proofErr w:type="spellEnd"/>
      <w:r>
        <w:t xml:space="preserve"> (2018), “Double Mental Discounting: When a Single Price Promotion Feels Twice as Nice,” </w:t>
      </w:r>
      <w:r>
        <w:rPr>
          <w:i/>
          <w:iCs/>
        </w:rPr>
        <w:t>Journal of Marketing Research</w:t>
      </w:r>
      <w:r>
        <w:t>, 55 (2), 226–38.</w:t>
      </w:r>
    </w:p>
    <w:p w:rsidR="00750EF6" w:rsidRDefault="002B2CD6">
      <w:pPr>
        <w:pBdr>
          <w:top w:val="nil"/>
          <w:left w:val="nil"/>
          <w:bottom w:val="nil"/>
          <w:right w:val="nil"/>
          <w:between w:val="nil"/>
        </w:pBdr>
        <w:spacing w:after="240"/>
        <w:ind w:left="720" w:right="0" w:hanging="720"/>
        <w:rPr>
          <w:color w:val="000000"/>
        </w:rPr>
      </w:pPr>
      <w:r>
        <w:rPr>
          <w:color w:val="000000"/>
        </w:rPr>
        <w:t xml:space="preserve">Chinn, Susan (2000), “A Simple Method for Converting an Odds Ratio to Effect Size for Use in Meta-Analysis,” </w:t>
      </w:r>
      <w:r>
        <w:rPr>
          <w:i/>
          <w:iCs/>
          <w:color w:val="000000"/>
        </w:rPr>
        <w:t>Statistics in Medicine</w:t>
      </w:r>
      <w:r>
        <w:rPr>
          <w:color w:val="000000"/>
        </w:rPr>
        <w:t>, 19(22), 3127–31</w:t>
      </w:r>
      <w:r>
        <w:t>.</w:t>
      </w:r>
    </w:p>
    <w:p w:rsidR="00750EF6" w:rsidRDefault="002B2CD6">
      <w:pPr>
        <w:pBdr>
          <w:top w:val="nil"/>
          <w:left w:val="nil"/>
          <w:bottom w:val="nil"/>
          <w:right w:val="nil"/>
          <w:between w:val="nil"/>
        </w:pBdr>
        <w:spacing w:after="240"/>
        <w:ind w:left="720" w:right="0" w:hanging="720"/>
      </w:pPr>
      <w:r>
        <w:t xml:space="preserve">Choe, Young and Carol M. Kan (2021), “Budget Depreciation: When Budgeting Early Increases Spending,” </w:t>
      </w:r>
      <w:r>
        <w:rPr>
          <w:i/>
          <w:iCs/>
        </w:rPr>
        <w:t>Journal of Consumer Research</w:t>
      </w:r>
      <w:r>
        <w:t>, 47 (6), 937–58.</w:t>
      </w:r>
    </w:p>
    <w:p w:rsidR="00750EF6" w:rsidRDefault="002B2CD6">
      <w:pPr>
        <w:pBdr>
          <w:top w:val="nil"/>
          <w:left w:val="nil"/>
          <w:bottom w:val="nil"/>
          <w:right w:val="nil"/>
          <w:between w:val="nil"/>
        </w:pBdr>
        <w:spacing w:after="240"/>
        <w:ind w:left="720" w:right="0" w:hanging="720"/>
        <w:rPr>
          <w:color w:val="000000"/>
        </w:rPr>
      </w:pPr>
      <w:r>
        <w:rPr>
          <w:color w:val="000000"/>
        </w:rPr>
        <w:t xml:space="preserve">Choi, James J., David </w:t>
      </w:r>
      <w:proofErr w:type="spellStart"/>
      <w:r>
        <w:rPr>
          <w:color w:val="000000"/>
        </w:rPr>
        <w:t>Laibson</w:t>
      </w:r>
      <w:proofErr w:type="spellEnd"/>
      <w:r>
        <w:rPr>
          <w:color w:val="000000"/>
        </w:rPr>
        <w:t xml:space="preserve">, and Brigitte C. </w:t>
      </w:r>
      <w:proofErr w:type="spellStart"/>
      <w:r>
        <w:rPr>
          <w:color w:val="000000"/>
        </w:rPr>
        <w:t>Madrian</w:t>
      </w:r>
      <w:proofErr w:type="spellEnd"/>
      <w:r>
        <w:rPr>
          <w:color w:val="000000"/>
        </w:rPr>
        <w:t xml:space="preserve"> (2009), “Mental Accounting in Portfolio Choice: Evidence from a Flypaper Effect,” </w:t>
      </w:r>
      <w:r>
        <w:rPr>
          <w:i/>
          <w:iCs/>
          <w:color w:val="000000"/>
        </w:rPr>
        <w:t>American Economic Review</w:t>
      </w:r>
      <w:r>
        <w:rPr>
          <w:color w:val="000000"/>
        </w:rPr>
        <w:t>, 99(5), 2085–95</w:t>
      </w:r>
      <w:r>
        <w:t>.</w:t>
      </w:r>
    </w:p>
    <w:p w:rsidR="00750EF6" w:rsidRDefault="002B2CD6">
      <w:pPr>
        <w:pBdr>
          <w:top w:val="nil"/>
          <w:left w:val="nil"/>
          <w:bottom w:val="nil"/>
          <w:right w:val="nil"/>
          <w:between w:val="nil"/>
        </w:pBdr>
        <w:spacing w:after="240"/>
        <w:ind w:left="720" w:right="0" w:hanging="720"/>
      </w:pPr>
      <w:proofErr w:type="spellStart"/>
      <w:r>
        <w:t>Comelli</w:t>
      </w:r>
      <w:proofErr w:type="spellEnd"/>
      <w:r>
        <w:t xml:space="preserve">, Martino (2021), “The Impact of Welfare on Household Debt,” </w:t>
      </w:r>
      <w:r>
        <w:rPr>
          <w:i/>
          <w:iCs/>
        </w:rPr>
        <w:t>Sociological Spectrum</w:t>
      </w:r>
      <w:r>
        <w:t>, 41 (2), 154–76</w:t>
      </w:r>
    </w:p>
    <w:p w:rsidR="00750EF6" w:rsidRDefault="002B2CD6">
      <w:pPr>
        <w:pBdr>
          <w:top w:val="nil"/>
          <w:left w:val="nil"/>
          <w:bottom w:val="nil"/>
          <w:right w:val="nil"/>
          <w:between w:val="nil"/>
        </w:pBdr>
        <w:spacing w:after="240"/>
        <w:ind w:left="720" w:right="0" w:hanging="720"/>
      </w:pPr>
      <w:r>
        <w:t>Consumer Financial Protection Bureau (2013), “A Review of the Impact of the CARD Act on the Consumer Credit Card Market,” October 1,</w:t>
      </w:r>
      <w:hyperlink r:id="rId13">
        <w:r>
          <w:t xml:space="preserve"> </w:t>
        </w:r>
      </w:hyperlink>
      <w:hyperlink r:id="rId14">
        <w:r>
          <w:rPr>
            <w:color w:val="1155CC"/>
            <w:u w:val="single"/>
          </w:rPr>
          <w:t>https://files.consumerfinance.gov/f/201309_cfpb_card-act-report.pdf</w:t>
        </w:r>
      </w:hyperlink>
      <w:r>
        <w:t>.</w:t>
      </w:r>
    </w:p>
    <w:p w:rsidR="00750EF6" w:rsidRDefault="002B2CD6">
      <w:pPr>
        <w:pBdr>
          <w:top w:val="nil"/>
          <w:left w:val="nil"/>
          <w:bottom w:val="nil"/>
          <w:right w:val="nil"/>
          <w:between w:val="nil"/>
        </w:pBdr>
        <w:spacing w:after="240"/>
        <w:ind w:left="720" w:right="0" w:hanging="720"/>
      </w:pPr>
      <w:proofErr w:type="spellStart"/>
      <w:r>
        <w:t>Deuflhard</w:t>
      </w:r>
      <w:proofErr w:type="spellEnd"/>
      <w:r>
        <w:t xml:space="preserve">, Florian, Dimitris </w:t>
      </w:r>
      <w:proofErr w:type="spellStart"/>
      <w:r>
        <w:t>Georgarakos</w:t>
      </w:r>
      <w:proofErr w:type="spellEnd"/>
      <w:r>
        <w:t xml:space="preserve">, and Roman </w:t>
      </w:r>
      <w:proofErr w:type="spellStart"/>
      <w:r>
        <w:t>Inderst</w:t>
      </w:r>
      <w:proofErr w:type="spellEnd"/>
      <w:r>
        <w:t xml:space="preserve"> (2019), “Financial Literacy and Savings Account Returns,” </w:t>
      </w:r>
      <w:r>
        <w:rPr>
          <w:i/>
          <w:iCs/>
        </w:rPr>
        <w:t>Journal of the European Economic Association</w:t>
      </w:r>
      <w:r>
        <w:t>, 17(1), 131–164.</w:t>
      </w:r>
    </w:p>
    <w:sdt>
      <w:sdtPr>
        <w:tag w:val="goog_rdk_0"/>
        <w:id w:val="-1850378620"/>
      </w:sdtPr>
      <w:sdtEndPr/>
      <w:sdtContent>
        <w:p w:rsidR="00750EF6" w:rsidRDefault="002B2CD6" w:rsidP="00B446E1">
          <w:pPr>
            <w:spacing w:before="240" w:after="240"/>
            <w:ind w:left="708" w:right="0" w:hanging="708"/>
          </w:pPr>
          <w:r>
            <w:t>Economist Intelligence Unit (2024), “Democracy Index 2023: Age of Conflict,”</w:t>
          </w:r>
          <w:hyperlink r:id="rId15">
            <w:r>
              <w:t xml:space="preserve"> </w:t>
            </w:r>
          </w:hyperlink>
          <w:hyperlink r:id="rId16">
            <w:r>
              <w:rPr>
                <w:color w:val="1155CC"/>
                <w:u w:val="single"/>
              </w:rPr>
              <w:t>https://policycommons.net/artifacts/11334740/democracy-index-2023-final-report/12223667/</w:t>
            </w:r>
          </w:hyperlink>
          <w:r>
            <w:t>.</w:t>
          </w:r>
        </w:p>
      </w:sdtContent>
    </w:sdt>
    <w:p w:rsidR="00750EF6" w:rsidRDefault="002B2CD6">
      <w:pPr>
        <w:pBdr>
          <w:top w:val="nil"/>
          <w:left w:val="nil"/>
          <w:bottom w:val="nil"/>
          <w:right w:val="nil"/>
          <w:between w:val="nil"/>
        </w:pBdr>
        <w:spacing w:after="240"/>
        <w:ind w:left="720" w:right="0" w:hanging="720"/>
      </w:pPr>
      <w:proofErr w:type="spellStart"/>
      <w:r>
        <w:t>Erat</w:t>
      </w:r>
      <w:proofErr w:type="spellEnd"/>
      <w:r>
        <w:t xml:space="preserve">, </w:t>
      </w:r>
      <w:proofErr w:type="spellStart"/>
      <w:r>
        <w:t>Sanjog</w:t>
      </w:r>
      <w:proofErr w:type="spellEnd"/>
      <w:r>
        <w:t xml:space="preserve"> and S. Raghunath </w:t>
      </w:r>
      <w:proofErr w:type="spellStart"/>
      <w:r>
        <w:t>Bhaskaran</w:t>
      </w:r>
      <w:proofErr w:type="spellEnd"/>
      <w:r>
        <w:t xml:space="preserve"> (2012), “Consumer Mental Accounts and Implications to Selling Base Products and Add-Ons,” </w:t>
      </w:r>
      <w:r>
        <w:rPr>
          <w:i/>
          <w:iCs/>
        </w:rPr>
        <w:t>Marketing Science</w:t>
      </w:r>
      <w:r>
        <w:t>, 31 (5), 801–18.</w:t>
      </w:r>
    </w:p>
    <w:p w:rsidR="00750EF6" w:rsidRDefault="002B2CD6">
      <w:pPr>
        <w:pBdr>
          <w:top w:val="nil"/>
          <w:left w:val="nil"/>
          <w:bottom w:val="nil"/>
          <w:right w:val="nil"/>
          <w:between w:val="nil"/>
        </w:pBdr>
        <w:spacing w:after="240"/>
        <w:ind w:left="720" w:right="0" w:hanging="720"/>
      </w:pPr>
      <w:r>
        <w:t xml:space="preserve">Evers, Ellen R., Alex </w:t>
      </w:r>
      <w:proofErr w:type="spellStart"/>
      <w:r>
        <w:t>Imas</w:t>
      </w:r>
      <w:proofErr w:type="spellEnd"/>
      <w:r>
        <w:t xml:space="preserve"> and </w:t>
      </w:r>
      <w:proofErr w:type="spellStart"/>
      <w:r>
        <w:t>Chulwoo</w:t>
      </w:r>
      <w:proofErr w:type="spellEnd"/>
      <w:r>
        <w:t xml:space="preserve"> Kang (2021), “On the Role of Similarity in Mental Accounting and Hedonic Editing,” </w:t>
      </w:r>
      <w:r>
        <w:rPr>
          <w:i/>
          <w:iCs/>
        </w:rPr>
        <w:t>Psychological Review</w:t>
      </w:r>
      <w:r>
        <w:t>, 129 (4), 777.</w:t>
      </w:r>
    </w:p>
    <w:p w:rsidR="00750EF6" w:rsidRDefault="002B2CD6">
      <w:pPr>
        <w:pBdr>
          <w:top w:val="nil"/>
          <w:left w:val="nil"/>
          <w:bottom w:val="nil"/>
          <w:right w:val="nil"/>
          <w:between w:val="nil"/>
        </w:pBdr>
        <w:spacing w:after="240"/>
        <w:ind w:left="720" w:right="0" w:hanging="720"/>
      </w:pPr>
      <w:r>
        <w:t xml:space="preserve">Fei, Lin, Daniel M. Bartels and </w:t>
      </w:r>
      <w:proofErr w:type="spellStart"/>
      <w:r>
        <w:t>Wenwen</w:t>
      </w:r>
      <w:proofErr w:type="spellEnd"/>
      <w:r>
        <w:t xml:space="preserve"> Zhang (2025), “Consumers’ Mental Representation of Expenditures: Implications for Spending and Savings Decisions,” </w:t>
      </w:r>
      <w:r>
        <w:rPr>
          <w:i/>
          <w:iCs/>
        </w:rPr>
        <w:t>Journal of Consumer Research</w:t>
      </w:r>
      <w:r>
        <w:t>, ucaf031.</w:t>
      </w:r>
    </w:p>
    <w:p w:rsidR="00750EF6" w:rsidRDefault="002B2CD6">
      <w:pPr>
        <w:pBdr>
          <w:top w:val="nil"/>
          <w:left w:val="nil"/>
          <w:bottom w:val="nil"/>
          <w:right w:val="nil"/>
          <w:between w:val="nil"/>
        </w:pBdr>
        <w:spacing w:after="240"/>
        <w:ind w:left="720" w:right="0" w:hanging="720"/>
      </w:pPr>
      <w:proofErr w:type="spellStart"/>
      <w:r>
        <w:t>Ghai</w:t>
      </w:r>
      <w:proofErr w:type="spellEnd"/>
      <w:r>
        <w:t xml:space="preserve">, Sangeet (2021), “It’s Time to Reimagine Sample Diversity and Retire the WEIRD Dichotomy,” </w:t>
      </w:r>
      <w:r>
        <w:rPr>
          <w:i/>
          <w:iCs/>
        </w:rPr>
        <w:t xml:space="preserve">Nature Human </w:t>
      </w:r>
      <w:proofErr w:type="spellStart"/>
      <w:r>
        <w:rPr>
          <w:i/>
          <w:iCs/>
        </w:rPr>
        <w:t>Behaviour</w:t>
      </w:r>
      <w:proofErr w:type="spellEnd"/>
      <w:r>
        <w:t>, 5, 971–72.</w:t>
      </w:r>
    </w:p>
    <w:p w:rsidR="00750EF6" w:rsidRDefault="002B2CD6">
      <w:pPr>
        <w:pBdr>
          <w:top w:val="nil"/>
          <w:left w:val="nil"/>
          <w:bottom w:val="nil"/>
          <w:right w:val="nil"/>
          <w:between w:val="nil"/>
        </w:pBdr>
        <w:spacing w:after="240"/>
        <w:ind w:left="720" w:right="0" w:hanging="720"/>
      </w:pPr>
      <w:proofErr w:type="spellStart"/>
      <w:r>
        <w:t>Gourville</w:t>
      </w:r>
      <w:proofErr w:type="spellEnd"/>
      <w:r>
        <w:t xml:space="preserve">, John T. (1998), “Pennies-a-Day: The Effect of Temporal Reframing on Transaction Evaluation,” </w:t>
      </w:r>
      <w:r>
        <w:rPr>
          <w:i/>
          <w:iCs/>
        </w:rPr>
        <w:t>Journal of Consumer Research</w:t>
      </w:r>
      <w:r>
        <w:t>, 24 (4), 395–408.</w:t>
      </w:r>
    </w:p>
    <w:p w:rsidR="00750EF6" w:rsidRDefault="002B2CD6">
      <w:pPr>
        <w:pBdr>
          <w:top w:val="nil"/>
          <w:left w:val="nil"/>
          <w:bottom w:val="nil"/>
          <w:right w:val="nil"/>
          <w:between w:val="nil"/>
        </w:pBdr>
        <w:spacing w:after="240"/>
        <w:ind w:left="720" w:right="0" w:hanging="720"/>
        <w:rPr>
          <w:color w:val="000000"/>
        </w:rPr>
      </w:pPr>
      <w:proofErr w:type="spellStart"/>
      <w:r>
        <w:rPr>
          <w:color w:val="000000"/>
        </w:rPr>
        <w:t>Hahnel</w:t>
      </w:r>
      <w:proofErr w:type="spellEnd"/>
      <w:r>
        <w:rPr>
          <w:color w:val="000000"/>
        </w:rPr>
        <w:t xml:space="preserve">, Ulf J. J., Gilles Chatelain, Beatrice Conte, Valentino </w:t>
      </w:r>
      <w:proofErr w:type="spellStart"/>
      <w:r>
        <w:rPr>
          <w:color w:val="000000"/>
        </w:rPr>
        <w:t>Piana</w:t>
      </w:r>
      <w:proofErr w:type="spellEnd"/>
      <w:r>
        <w:rPr>
          <w:color w:val="000000"/>
        </w:rPr>
        <w:t xml:space="preserve">, and Tobias Brosch (2020), “Mental Accounting Mechanisms in Energy Decision-Making and </w:t>
      </w:r>
      <w:proofErr w:type="spellStart"/>
      <w:r>
        <w:rPr>
          <w:color w:val="000000"/>
        </w:rPr>
        <w:t>Behaviour</w:t>
      </w:r>
      <w:proofErr w:type="spellEnd"/>
      <w:r>
        <w:rPr>
          <w:color w:val="000000"/>
        </w:rPr>
        <w:t xml:space="preserve">,” </w:t>
      </w:r>
      <w:r>
        <w:rPr>
          <w:i/>
          <w:iCs/>
          <w:color w:val="000000"/>
        </w:rPr>
        <w:t>Nature Energy</w:t>
      </w:r>
      <w:r>
        <w:rPr>
          <w:color w:val="000000"/>
        </w:rPr>
        <w:t>, 5(12), 952–58</w:t>
      </w:r>
      <w:r>
        <w:t>.</w:t>
      </w:r>
    </w:p>
    <w:p w:rsidR="00750EF6" w:rsidRDefault="002B2CD6">
      <w:pPr>
        <w:spacing w:after="240"/>
        <w:ind w:left="720" w:right="0"/>
      </w:pPr>
      <w:r>
        <w:t xml:space="preserve">Hastings, Justine S. and Jesse M. Shapiro (2013), “Fungibility and Consumer Choice: Evidence from Commodity Price Shocks,” </w:t>
      </w:r>
      <w:r>
        <w:rPr>
          <w:i/>
          <w:iCs/>
        </w:rPr>
        <w:t>Quarterly Journal of Economics</w:t>
      </w:r>
      <w:r>
        <w:t>, 128 (4), 1449–98.</w:t>
      </w:r>
    </w:p>
    <w:p w:rsidR="00750EF6" w:rsidRDefault="002B2CD6">
      <w:pPr>
        <w:pBdr>
          <w:top w:val="nil"/>
          <w:left w:val="nil"/>
          <w:bottom w:val="nil"/>
          <w:right w:val="nil"/>
          <w:between w:val="nil"/>
        </w:pBdr>
        <w:spacing w:after="240"/>
        <w:ind w:left="720" w:right="0" w:hanging="720"/>
        <w:rPr>
          <w:color w:val="000000"/>
        </w:rPr>
      </w:pPr>
      <w:r>
        <w:rPr>
          <w:color w:val="000000"/>
        </w:rPr>
        <w:lastRenderedPageBreak/>
        <w:t xml:space="preserve">Heath, Chip and Jack B. Soll (1996), “Mental Budgeting and Consumer Decisions,” </w:t>
      </w:r>
      <w:r>
        <w:rPr>
          <w:i/>
          <w:iCs/>
          <w:color w:val="000000"/>
        </w:rPr>
        <w:t>Journal of Consumer Research</w:t>
      </w:r>
      <w:r>
        <w:rPr>
          <w:color w:val="000000"/>
        </w:rPr>
        <w:t>, 23(1), 40–52</w:t>
      </w:r>
      <w:r>
        <w:t>.</w:t>
      </w:r>
    </w:p>
    <w:p w:rsidR="00750EF6" w:rsidRDefault="002B2CD6">
      <w:pPr>
        <w:pBdr>
          <w:top w:val="nil"/>
          <w:left w:val="nil"/>
          <w:bottom w:val="nil"/>
          <w:right w:val="nil"/>
          <w:between w:val="nil"/>
        </w:pBdr>
        <w:spacing w:after="240"/>
        <w:ind w:left="720" w:right="0" w:hanging="720"/>
      </w:pPr>
      <w:r>
        <w:rPr>
          <w:color w:val="000000"/>
        </w:rPr>
        <w:t xml:space="preserve">Henrich, Joseph, Jean </w:t>
      </w:r>
      <w:proofErr w:type="spellStart"/>
      <w:r>
        <w:rPr>
          <w:color w:val="000000"/>
        </w:rPr>
        <w:t>Ensminger</w:t>
      </w:r>
      <w:proofErr w:type="spellEnd"/>
      <w:r>
        <w:rPr>
          <w:color w:val="000000"/>
        </w:rPr>
        <w:t xml:space="preserve">, Richard </w:t>
      </w:r>
      <w:proofErr w:type="spellStart"/>
      <w:r>
        <w:rPr>
          <w:color w:val="000000"/>
        </w:rPr>
        <w:t>McElreath</w:t>
      </w:r>
      <w:proofErr w:type="spellEnd"/>
      <w:r>
        <w:rPr>
          <w:color w:val="000000"/>
        </w:rPr>
        <w:t xml:space="preserve">, Abigail Barr, Clark Barrett, Alexander </w:t>
      </w:r>
      <w:proofErr w:type="spellStart"/>
      <w:r>
        <w:rPr>
          <w:color w:val="000000"/>
        </w:rPr>
        <w:t>Bolyanatz</w:t>
      </w:r>
      <w:proofErr w:type="spellEnd"/>
      <w:r>
        <w:rPr>
          <w:color w:val="000000"/>
        </w:rPr>
        <w:t xml:space="preserve">, Juan Camilo Cardenas, </w:t>
      </w:r>
      <w:r>
        <w:t xml:space="preserve">et al. </w:t>
      </w:r>
      <w:r>
        <w:rPr>
          <w:color w:val="000000"/>
        </w:rPr>
        <w:t xml:space="preserve">(2010), “Markets, Religion, Community Size, and the Evolution of Fairness and Punishment,” </w:t>
      </w:r>
      <w:r>
        <w:rPr>
          <w:i/>
          <w:iCs/>
          <w:color w:val="000000"/>
        </w:rPr>
        <w:t>Science</w:t>
      </w:r>
      <w:r>
        <w:rPr>
          <w:color w:val="000000"/>
        </w:rPr>
        <w:t>, 327(5972), 1480–84</w:t>
      </w:r>
      <w:r>
        <w:t>.</w:t>
      </w:r>
    </w:p>
    <w:p w:rsidR="00750EF6" w:rsidRDefault="002B2CD6">
      <w:pPr>
        <w:pBdr>
          <w:top w:val="nil"/>
          <w:left w:val="nil"/>
          <w:bottom w:val="nil"/>
          <w:right w:val="nil"/>
          <w:between w:val="nil"/>
        </w:pBdr>
        <w:spacing w:after="240"/>
        <w:ind w:left="720" w:right="0" w:hanging="720"/>
        <w:rPr>
          <w:color w:val="000000"/>
        </w:rPr>
      </w:pPr>
      <w:r>
        <w:rPr>
          <w:color w:val="000000"/>
        </w:rPr>
        <w:t xml:space="preserve">Henrich, Joseph, Steven J. Heine, and Ara </w:t>
      </w:r>
      <w:proofErr w:type="spellStart"/>
      <w:r>
        <w:rPr>
          <w:color w:val="000000"/>
        </w:rPr>
        <w:t>Norenzayan</w:t>
      </w:r>
      <w:proofErr w:type="spellEnd"/>
      <w:r>
        <w:rPr>
          <w:color w:val="000000"/>
        </w:rPr>
        <w:t xml:space="preserve"> (2010), “The Weirdest People in the </w:t>
      </w:r>
      <w:proofErr w:type="gramStart"/>
      <w:r>
        <w:rPr>
          <w:color w:val="000000"/>
        </w:rPr>
        <w:t>World?,</w:t>
      </w:r>
      <w:proofErr w:type="gramEnd"/>
      <w:r>
        <w:rPr>
          <w:color w:val="000000"/>
        </w:rPr>
        <w:t xml:space="preserve">” </w:t>
      </w:r>
      <w:r>
        <w:rPr>
          <w:i/>
          <w:iCs/>
          <w:color w:val="000000"/>
        </w:rPr>
        <w:t>Behavioral and Brain Sciences</w:t>
      </w:r>
      <w:r>
        <w:rPr>
          <w:color w:val="000000"/>
        </w:rPr>
        <w:t>, 33(2–3), 61–83.</w:t>
      </w:r>
    </w:p>
    <w:p w:rsidR="00750EF6" w:rsidRDefault="002B2CD6">
      <w:pPr>
        <w:pBdr>
          <w:top w:val="nil"/>
          <w:left w:val="nil"/>
          <w:bottom w:val="nil"/>
          <w:right w:val="nil"/>
          <w:between w:val="nil"/>
        </w:pBdr>
        <w:spacing w:after="240"/>
        <w:ind w:left="720" w:right="0" w:hanging="720"/>
      </w:pPr>
      <w:r>
        <w:t xml:space="preserve">Hossain, Mohammad </w:t>
      </w:r>
      <w:proofErr w:type="spellStart"/>
      <w:r>
        <w:t>Tazul</w:t>
      </w:r>
      <w:proofErr w:type="spellEnd"/>
      <w:r>
        <w:t xml:space="preserve"> (2018), “How Cognitive Style Influences the Mental Accounting System: Role of Analytic versus Holistic Thinking,” </w:t>
      </w:r>
      <w:r>
        <w:rPr>
          <w:i/>
          <w:iCs/>
        </w:rPr>
        <w:t>Journal of Consumer Research</w:t>
      </w:r>
      <w:r>
        <w:t>, 45(3), 615–632.</w:t>
      </w:r>
    </w:p>
    <w:p w:rsidR="00750EF6" w:rsidRDefault="002B2CD6">
      <w:pPr>
        <w:pBdr>
          <w:top w:val="nil"/>
          <w:left w:val="nil"/>
          <w:bottom w:val="nil"/>
          <w:right w:val="nil"/>
          <w:between w:val="nil"/>
        </w:pBdr>
        <w:spacing w:after="240"/>
        <w:ind w:left="720" w:right="0" w:hanging="720"/>
        <w:rPr>
          <w:color w:val="000000"/>
        </w:rPr>
      </w:pPr>
      <w:r>
        <w:rPr>
          <w:color w:val="000000"/>
        </w:rPr>
        <w:t xml:space="preserve">Ioannidis, John P. A. (2005), “Why Most Published Research Findings Are False,” </w:t>
      </w:r>
      <w:r>
        <w:rPr>
          <w:i/>
          <w:iCs/>
          <w:color w:val="000000"/>
        </w:rPr>
        <w:t>PLOS Medicine</w:t>
      </w:r>
      <w:r>
        <w:rPr>
          <w:color w:val="000000"/>
        </w:rPr>
        <w:t>, 2(8), e124</w:t>
      </w:r>
      <w:r>
        <w:t>.</w:t>
      </w:r>
    </w:p>
    <w:p w:rsidR="00750EF6" w:rsidRDefault="002B2CD6">
      <w:pPr>
        <w:pBdr>
          <w:top w:val="nil"/>
          <w:left w:val="nil"/>
          <w:bottom w:val="nil"/>
          <w:right w:val="nil"/>
          <w:between w:val="nil"/>
        </w:pBdr>
        <w:spacing w:after="240"/>
        <w:ind w:left="720" w:right="0" w:hanging="720"/>
      </w:pPr>
      <w:r>
        <w:t xml:space="preserve">Kahneman, Daniel, and Amos Tversky (1979), “Prospect Theory: An Analysis of Decision under Risk,” </w:t>
      </w:r>
      <w:proofErr w:type="spellStart"/>
      <w:r>
        <w:rPr>
          <w:i/>
          <w:iCs/>
        </w:rPr>
        <w:t>Econometrica</w:t>
      </w:r>
      <w:proofErr w:type="spellEnd"/>
      <w:r>
        <w:t>, 47, 263–291.</w:t>
      </w:r>
    </w:p>
    <w:p w:rsidR="00750EF6" w:rsidRDefault="002B2CD6">
      <w:pPr>
        <w:pBdr>
          <w:top w:val="nil"/>
          <w:left w:val="nil"/>
          <w:bottom w:val="nil"/>
          <w:right w:val="nil"/>
          <w:between w:val="nil"/>
        </w:pBdr>
        <w:spacing w:after="240"/>
        <w:ind w:left="720" w:right="0" w:hanging="720"/>
        <w:rPr>
          <w:color w:val="000000"/>
        </w:rPr>
      </w:pPr>
      <w:r>
        <w:rPr>
          <w:color w:val="000000"/>
        </w:rPr>
        <w:t xml:space="preserve">Kahneman, Daniel and Amos Tversky (1982), “The Psychology of Preferences,” </w:t>
      </w:r>
      <w:r>
        <w:rPr>
          <w:i/>
          <w:iCs/>
          <w:color w:val="000000"/>
        </w:rPr>
        <w:t>Scientific American</w:t>
      </w:r>
      <w:r>
        <w:rPr>
          <w:color w:val="000000"/>
        </w:rPr>
        <w:t>, 246(1), 160–73</w:t>
      </w:r>
      <w:r>
        <w:t>.</w:t>
      </w:r>
    </w:p>
    <w:p w:rsidR="00750EF6" w:rsidRDefault="002B2CD6">
      <w:pPr>
        <w:pBdr>
          <w:top w:val="nil"/>
          <w:left w:val="nil"/>
          <w:bottom w:val="nil"/>
          <w:right w:val="nil"/>
          <w:between w:val="nil"/>
        </w:pBdr>
        <w:spacing w:after="240"/>
        <w:ind w:left="720" w:right="0" w:hanging="720"/>
        <w:rPr>
          <w:color w:val="000000"/>
        </w:rPr>
      </w:pPr>
      <w:r>
        <w:rPr>
          <w:color w:val="000000"/>
        </w:rPr>
        <w:t xml:space="preserve">Kahneman, Daniel and Amos Tversky (1984), “Choices, Values, and Frames,” </w:t>
      </w:r>
      <w:r>
        <w:rPr>
          <w:i/>
          <w:iCs/>
          <w:color w:val="000000"/>
        </w:rPr>
        <w:t>American Psychologist</w:t>
      </w:r>
      <w:r>
        <w:rPr>
          <w:color w:val="000000"/>
        </w:rPr>
        <w:t>, 39(4), 341–50.</w:t>
      </w:r>
    </w:p>
    <w:p w:rsidR="00750EF6" w:rsidRDefault="002B2CD6">
      <w:pPr>
        <w:pBdr>
          <w:top w:val="nil"/>
          <w:left w:val="nil"/>
          <w:bottom w:val="nil"/>
          <w:right w:val="nil"/>
          <w:between w:val="nil"/>
        </w:pBdr>
        <w:spacing w:after="240"/>
        <w:ind w:left="720" w:right="0" w:hanging="720"/>
      </w:pPr>
      <w:proofErr w:type="spellStart"/>
      <w:r>
        <w:lastRenderedPageBreak/>
        <w:t>Kelting</w:t>
      </w:r>
      <w:proofErr w:type="spellEnd"/>
      <w:r>
        <w:t xml:space="preserve">, Kelsey, Scott Robinson and Richard J. Lutz (2019), “Would You Like to Round Up and Donate the Difference? Roundup Requests Reduce the Perceived Pain of Donating,” </w:t>
      </w:r>
      <w:r>
        <w:rPr>
          <w:i/>
          <w:iCs/>
        </w:rPr>
        <w:t>Journal of Consumer Psychology</w:t>
      </w:r>
      <w:r>
        <w:t>, 29 (1), 70–78.</w:t>
      </w:r>
    </w:p>
    <w:p w:rsidR="00750EF6" w:rsidRDefault="002B2CD6">
      <w:pPr>
        <w:pBdr>
          <w:top w:val="nil"/>
          <w:left w:val="nil"/>
          <w:bottom w:val="nil"/>
          <w:right w:val="nil"/>
          <w:between w:val="nil"/>
        </w:pBdr>
        <w:spacing w:after="240"/>
        <w:ind w:left="720" w:right="0" w:hanging="720"/>
        <w:rPr>
          <w:color w:val="000000"/>
        </w:rPr>
      </w:pPr>
      <w:r>
        <w:t xml:space="preserve">Klein, Richard A., Kate A. Ratliff, Michelangelo </w:t>
      </w:r>
      <w:proofErr w:type="spellStart"/>
      <w:r>
        <w:t>Vianello</w:t>
      </w:r>
      <w:proofErr w:type="spellEnd"/>
      <w:r>
        <w:t xml:space="preserve">, Reginald B. Adams, </w:t>
      </w:r>
      <w:proofErr w:type="spellStart"/>
      <w:r>
        <w:t>Štěpán</w:t>
      </w:r>
      <w:proofErr w:type="spellEnd"/>
      <w:r>
        <w:t xml:space="preserve"> </w:t>
      </w:r>
      <w:proofErr w:type="spellStart"/>
      <w:r>
        <w:t>Bahník</w:t>
      </w:r>
      <w:proofErr w:type="spellEnd"/>
      <w:r>
        <w:t xml:space="preserve">, Michael J. Bernstein, Konrad Bocian et al. (2014), “Investigating Variation in Replicability,” </w:t>
      </w:r>
      <w:r>
        <w:rPr>
          <w:i/>
          <w:iCs/>
        </w:rPr>
        <w:t>Social Psychology</w:t>
      </w:r>
      <w:r>
        <w:t>, 45 (3), 142–52.</w:t>
      </w:r>
    </w:p>
    <w:p w:rsidR="00750EF6" w:rsidRDefault="002B2CD6">
      <w:pPr>
        <w:spacing w:before="240" w:after="240"/>
        <w:ind w:left="708" w:right="0" w:hanging="708"/>
      </w:pPr>
      <w:r>
        <w:t xml:space="preserve">Koch, Alexander K. and Julia Nafziger (2016), “Goals and Bracketing under Mental Accounting,” </w:t>
      </w:r>
      <w:r>
        <w:rPr>
          <w:i/>
          <w:iCs/>
        </w:rPr>
        <w:t>Journal of Economic Theory</w:t>
      </w:r>
      <w:r>
        <w:t>, 162, 305–51.</w:t>
      </w:r>
    </w:p>
    <w:p w:rsidR="00750EF6" w:rsidRDefault="002B2CD6">
      <w:pPr>
        <w:pBdr>
          <w:top w:val="nil"/>
          <w:left w:val="nil"/>
          <w:bottom w:val="nil"/>
          <w:right w:val="nil"/>
          <w:between w:val="nil"/>
        </w:pBdr>
        <w:spacing w:after="240"/>
        <w:ind w:left="720" w:right="0" w:hanging="720"/>
        <w:rPr>
          <w:color w:val="000000"/>
        </w:rPr>
      </w:pPr>
      <w:proofErr w:type="spellStart"/>
      <w:r>
        <w:rPr>
          <w:color w:val="000000"/>
        </w:rPr>
        <w:t>Kőszegi</w:t>
      </w:r>
      <w:proofErr w:type="spellEnd"/>
      <w:r>
        <w:rPr>
          <w:color w:val="000000"/>
        </w:rPr>
        <w:t xml:space="preserve">, </w:t>
      </w:r>
      <w:proofErr w:type="spellStart"/>
      <w:r>
        <w:rPr>
          <w:color w:val="000000"/>
        </w:rPr>
        <w:t>Botond</w:t>
      </w:r>
      <w:proofErr w:type="spellEnd"/>
      <w:r>
        <w:rPr>
          <w:color w:val="000000"/>
        </w:rPr>
        <w:t xml:space="preserve"> and Filip </w:t>
      </w:r>
      <w:proofErr w:type="spellStart"/>
      <w:r>
        <w:rPr>
          <w:color w:val="000000"/>
        </w:rPr>
        <w:t>Matějka</w:t>
      </w:r>
      <w:proofErr w:type="spellEnd"/>
      <w:r>
        <w:rPr>
          <w:color w:val="000000"/>
        </w:rPr>
        <w:t xml:space="preserve"> (2020), “Choice Simplification: A Theory of Mental Budgeting and Naive Diversification” </w:t>
      </w:r>
      <w:r>
        <w:rPr>
          <w:i/>
          <w:iCs/>
          <w:color w:val="000000"/>
        </w:rPr>
        <w:t>The Quarterly Journal of Economics</w:t>
      </w:r>
      <w:r>
        <w:rPr>
          <w:color w:val="000000"/>
        </w:rPr>
        <w:t>, 135(2), 1153–1207</w:t>
      </w:r>
      <w:r>
        <w:t>.</w:t>
      </w:r>
    </w:p>
    <w:p w:rsidR="00750EF6" w:rsidRDefault="002B2CD6">
      <w:pPr>
        <w:pBdr>
          <w:top w:val="nil"/>
          <w:left w:val="nil"/>
          <w:bottom w:val="nil"/>
          <w:right w:val="nil"/>
          <w:between w:val="nil"/>
        </w:pBdr>
        <w:spacing w:after="240"/>
        <w:ind w:left="720" w:right="0" w:hanging="720"/>
        <w:rPr>
          <w:color w:val="000000"/>
        </w:rPr>
      </w:pPr>
      <w:r>
        <w:rPr>
          <w:color w:val="000000"/>
        </w:rPr>
        <w:t xml:space="preserve">Krishna, </w:t>
      </w:r>
      <w:proofErr w:type="spellStart"/>
      <w:r>
        <w:rPr>
          <w:color w:val="000000"/>
        </w:rPr>
        <w:t>Aradhna</w:t>
      </w:r>
      <w:proofErr w:type="spellEnd"/>
      <w:r>
        <w:rPr>
          <w:color w:val="000000"/>
        </w:rPr>
        <w:t xml:space="preserve"> (2021), “The Need for Synergy in Academic Policies: An Introduction to the Dialogue on Pre-Registration,” </w:t>
      </w:r>
      <w:r>
        <w:rPr>
          <w:i/>
          <w:iCs/>
          <w:color w:val="000000"/>
        </w:rPr>
        <w:t>Journal of Consumer Psychology</w:t>
      </w:r>
      <w:r>
        <w:rPr>
          <w:color w:val="000000"/>
        </w:rPr>
        <w:t>, 31(1), 146–50</w:t>
      </w:r>
      <w:r>
        <w:t>.</w:t>
      </w:r>
    </w:p>
    <w:sdt>
      <w:sdtPr>
        <w:tag w:val="goog_rdk_1"/>
        <w:id w:val="244833744"/>
      </w:sdtPr>
      <w:sdtEndPr/>
      <w:sdtContent>
        <w:p w:rsidR="00750EF6" w:rsidRDefault="002B2CD6" w:rsidP="00B446E1">
          <w:pPr>
            <w:spacing w:before="240" w:after="240"/>
            <w:ind w:left="708" w:right="0" w:hanging="708"/>
          </w:pPr>
          <w:r>
            <w:t xml:space="preserve">Lee, Choong </w:t>
          </w:r>
          <w:proofErr w:type="spellStart"/>
          <w:r>
            <w:t>Yeol</w:t>
          </w:r>
          <w:proofErr w:type="spellEnd"/>
          <w:r>
            <w:t xml:space="preserve"> and Carey K. </w:t>
          </w:r>
          <w:proofErr w:type="spellStart"/>
          <w:r>
            <w:t>Morewedge</w:t>
          </w:r>
          <w:proofErr w:type="spellEnd"/>
          <w:r>
            <w:t xml:space="preserve"> (2023), “Mental Accounting of Product Returns,” </w:t>
          </w:r>
          <w:r>
            <w:rPr>
              <w:i/>
              <w:iCs/>
            </w:rPr>
            <w:t>Journal of Consumer Psychology</w:t>
          </w:r>
          <w:r>
            <w:t>, 33 (3), 583–90.</w:t>
          </w:r>
        </w:p>
      </w:sdtContent>
    </w:sdt>
    <w:p w:rsidR="00750EF6" w:rsidRDefault="002B2CD6">
      <w:pPr>
        <w:pBdr>
          <w:top w:val="nil"/>
          <w:left w:val="nil"/>
          <w:bottom w:val="nil"/>
          <w:right w:val="nil"/>
          <w:between w:val="nil"/>
        </w:pBdr>
        <w:spacing w:after="240"/>
        <w:ind w:left="720" w:right="0" w:hanging="720"/>
        <w:rPr>
          <w:color w:val="000000"/>
        </w:rPr>
      </w:pPr>
      <w:r>
        <w:t xml:space="preserve">Lian, Chen (2021), “A Theory of Narrow Thinking,” </w:t>
      </w:r>
      <w:r>
        <w:rPr>
          <w:i/>
          <w:iCs/>
        </w:rPr>
        <w:t>Review of Economic Studies</w:t>
      </w:r>
      <w:r>
        <w:t>, 88 (5), 2344–74.</w:t>
      </w:r>
    </w:p>
    <w:p w:rsidR="00750EF6" w:rsidRDefault="002B2CD6">
      <w:pPr>
        <w:pBdr>
          <w:top w:val="nil"/>
          <w:left w:val="nil"/>
          <w:bottom w:val="nil"/>
          <w:right w:val="nil"/>
          <w:between w:val="nil"/>
        </w:pBdr>
        <w:spacing w:after="240"/>
        <w:ind w:left="720" w:right="0" w:hanging="720"/>
      </w:pPr>
      <w:r>
        <w:t xml:space="preserve">Lichtenstein, Sarah and Paul </w:t>
      </w:r>
      <w:proofErr w:type="spellStart"/>
      <w:r>
        <w:t>Slovic</w:t>
      </w:r>
      <w:proofErr w:type="spellEnd"/>
      <w:r>
        <w:t xml:space="preserve"> (1971), “Reversals of Preference between Bids and Choices in Gambling Decisions,” </w:t>
      </w:r>
      <w:r>
        <w:rPr>
          <w:i/>
          <w:iCs/>
        </w:rPr>
        <w:t>Journal of Experimental Psychology</w:t>
      </w:r>
      <w:r>
        <w:t>, 89 (1), 46.</w:t>
      </w:r>
    </w:p>
    <w:p w:rsidR="00750EF6" w:rsidRDefault="002B2CD6">
      <w:pPr>
        <w:pBdr>
          <w:top w:val="nil"/>
          <w:left w:val="nil"/>
          <w:bottom w:val="nil"/>
          <w:right w:val="nil"/>
          <w:between w:val="nil"/>
        </w:pBdr>
        <w:spacing w:after="240"/>
        <w:ind w:left="720" w:right="0" w:hanging="720"/>
        <w:rPr>
          <w:color w:val="000000"/>
        </w:rPr>
      </w:pPr>
      <w:r>
        <w:rPr>
          <w:color w:val="000000"/>
        </w:rPr>
        <w:lastRenderedPageBreak/>
        <w:t xml:space="preserve">Liu, </w:t>
      </w:r>
      <w:proofErr w:type="spellStart"/>
      <w:r>
        <w:rPr>
          <w:color w:val="000000"/>
        </w:rPr>
        <w:t>Hsin</w:t>
      </w:r>
      <w:proofErr w:type="spellEnd"/>
      <w:r>
        <w:rPr>
          <w:color w:val="000000"/>
        </w:rPr>
        <w:t xml:space="preserve">-Hsien and </w:t>
      </w:r>
      <w:proofErr w:type="spellStart"/>
      <w:r>
        <w:rPr>
          <w:color w:val="000000"/>
        </w:rPr>
        <w:t>Hsuan</w:t>
      </w:r>
      <w:proofErr w:type="spellEnd"/>
      <w:r>
        <w:rPr>
          <w:color w:val="000000"/>
        </w:rPr>
        <w:t xml:space="preserve">-Yi Chou (2018), “Promotional Formats and Inaction Inertia,” </w:t>
      </w:r>
      <w:r>
        <w:rPr>
          <w:i/>
          <w:iCs/>
          <w:color w:val="000000"/>
        </w:rPr>
        <w:t>Journal of Economic Psychology</w:t>
      </w:r>
      <w:r>
        <w:rPr>
          <w:color w:val="000000"/>
        </w:rPr>
        <w:t>, 66, 22–32</w:t>
      </w:r>
      <w:r>
        <w:t>.</w:t>
      </w:r>
    </w:p>
    <w:p w:rsidR="00750EF6" w:rsidRDefault="002B2CD6">
      <w:pPr>
        <w:pBdr>
          <w:top w:val="nil"/>
          <w:left w:val="nil"/>
          <w:bottom w:val="nil"/>
          <w:right w:val="nil"/>
          <w:between w:val="nil"/>
        </w:pBdr>
        <w:spacing w:after="240"/>
        <w:ind w:left="720" w:right="0" w:hanging="720"/>
        <w:rPr>
          <w:color w:val="000000"/>
        </w:rPr>
      </w:pPr>
      <w:r>
        <w:rPr>
          <w:color w:val="000000"/>
        </w:rPr>
        <w:t xml:space="preserve">Liu, </w:t>
      </w:r>
      <w:proofErr w:type="spellStart"/>
      <w:r>
        <w:rPr>
          <w:color w:val="000000"/>
        </w:rPr>
        <w:t>Yunxin</w:t>
      </w:r>
      <w:proofErr w:type="spellEnd"/>
      <w:r>
        <w:rPr>
          <w:color w:val="000000"/>
        </w:rPr>
        <w:t xml:space="preserve"> and Siegfried </w:t>
      </w:r>
      <w:proofErr w:type="spellStart"/>
      <w:r>
        <w:rPr>
          <w:color w:val="000000"/>
        </w:rPr>
        <w:t>Dewitte</w:t>
      </w:r>
      <w:proofErr w:type="spellEnd"/>
      <w:r>
        <w:rPr>
          <w:color w:val="000000"/>
        </w:rPr>
        <w:t xml:space="preserve"> (2021), “A Replication Study of the Credit Card Effect on Spending Behavior and an Extension to Mobile Payments,” </w:t>
      </w:r>
      <w:r>
        <w:rPr>
          <w:i/>
          <w:iCs/>
          <w:color w:val="000000"/>
        </w:rPr>
        <w:t>Journal of Retailing and Consumer Services</w:t>
      </w:r>
      <w:r>
        <w:rPr>
          <w:color w:val="000000"/>
        </w:rPr>
        <w:t>, 60, 102472</w:t>
      </w:r>
      <w:r>
        <w:t>.</w:t>
      </w:r>
    </w:p>
    <w:p w:rsidR="00750EF6" w:rsidRDefault="002B2CD6">
      <w:pPr>
        <w:pBdr>
          <w:top w:val="nil"/>
          <w:left w:val="nil"/>
          <w:bottom w:val="nil"/>
          <w:right w:val="nil"/>
          <w:between w:val="nil"/>
        </w:pBdr>
        <w:spacing w:after="240"/>
        <w:ind w:left="720" w:right="0" w:hanging="720"/>
        <w:rPr>
          <w:color w:val="000000"/>
        </w:rPr>
      </w:pPr>
      <w:proofErr w:type="spellStart"/>
      <w:r>
        <w:rPr>
          <w:color w:val="000000"/>
        </w:rPr>
        <w:t>Loken</w:t>
      </w:r>
      <w:proofErr w:type="spellEnd"/>
      <w:r>
        <w:rPr>
          <w:color w:val="000000"/>
        </w:rPr>
        <w:t xml:space="preserve">, Eric and Andrew Gelman (2017), “Measurement Error and the Replication Crisis,” </w:t>
      </w:r>
      <w:r>
        <w:rPr>
          <w:i/>
          <w:iCs/>
          <w:color w:val="000000"/>
        </w:rPr>
        <w:t>Science</w:t>
      </w:r>
      <w:r>
        <w:rPr>
          <w:color w:val="000000"/>
        </w:rPr>
        <w:t>, 355(6325), 584–85</w:t>
      </w:r>
      <w:r>
        <w:t>.</w:t>
      </w:r>
    </w:p>
    <w:p w:rsidR="00750EF6" w:rsidRDefault="002B2CD6">
      <w:pPr>
        <w:pBdr>
          <w:top w:val="nil"/>
          <w:left w:val="nil"/>
          <w:bottom w:val="nil"/>
          <w:right w:val="nil"/>
          <w:between w:val="nil"/>
        </w:pBdr>
        <w:spacing w:after="240"/>
        <w:ind w:left="720" w:right="0" w:hanging="720"/>
      </w:pPr>
      <w:r>
        <w:rPr>
          <w:color w:val="000000"/>
        </w:rPr>
        <w:t xml:space="preserve">Lusardi, Annamaria and Olivia S. Mitchell (2014), “The Economic Importance of Financial </w:t>
      </w:r>
      <w:r>
        <w:t xml:space="preserve">Literacy: Theory and Evidence,” </w:t>
      </w:r>
      <w:r>
        <w:rPr>
          <w:i/>
          <w:iCs/>
        </w:rPr>
        <w:t>Journal of Economic Literature</w:t>
      </w:r>
      <w:r>
        <w:t>, 52(1), 5–44.</w:t>
      </w:r>
    </w:p>
    <w:p w:rsidR="00750EF6" w:rsidRDefault="002B2CD6">
      <w:pPr>
        <w:pBdr>
          <w:top w:val="nil"/>
          <w:left w:val="nil"/>
          <w:bottom w:val="nil"/>
          <w:right w:val="nil"/>
          <w:between w:val="nil"/>
        </w:pBdr>
        <w:spacing w:after="240"/>
        <w:ind w:left="720" w:right="0" w:hanging="720"/>
      </w:pPr>
      <w:r>
        <w:t xml:space="preserve">Lusardi, Annamaria, and Olivia S. Mitchell (2017), “How Ordinary Consumers Make Complex Economic Decisions: Financial Literacy and Retirement Readiness,” </w:t>
      </w:r>
      <w:r>
        <w:rPr>
          <w:i/>
          <w:iCs/>
        </w:rPr>
        <w:t>Quarterly Journal of Finance</w:t>
      </w:r>
      <w:r>
        <w:t>, 7(3), 1750008.</w:t>
      </w:r>
    </w:p>
    <w:p w:rsidR="00750EF6" w:rsidRDefault="002B2CD6">
      <w:pPr>
        <w:spacing w:before="240" w:after="240"/>
        <w:ind w:left="720" w:right="0" w:hanging="720"/>
      </w:pPr>
      <w:r>
        <w:t xml:space="preserve">Mack, Ashley (2023), “The Sneaky Sticker Shock of Subscription Culture,” </w:t>
      </w:r>
      <w:r>
        <w:rPr>
          <w:i/>
          <w:iCs/>
        </w:rPr>
        <w:t>New York Times</w:t>
      </w:r>
      <w:r>
        <w:t>, November 10.</w:t>
      </w:r>
    </w:p>
    <w:p w:rsidR="00750EF6" w:rsidRDefault="002B2CD6">
      <w:pPr>
        <w:spacing w:before="240" w:after="240"/>
        <w:ind w:left="720" w:right="0" w:hanging="720"/>
      </w:pPr>
      <w:proofErr w:type="spellStart"/>
      <w:r>
        <w:t>Muehlbacher</w:t>
      </w:r>
      <w:proofErr w:type="spellEnd"/>
      <w:r>
        <w:t xml:space="preserve">, Stephan, and Erich </w:t>
      </w:r>
      <w:proofErr w:type="spellStart"/>
      <w:r>
        <w:t>Kirchler</w:t>
      </w:r>
      <w:proofErr w:type="spellEnd"/>
      <w:r>
        <w:t xml:space="preserve"> (2019), “Individual Differences in Mental Accounting,” </w:t>
      </w:r>
      <w:r>
        <w:rPr>
          <w:i/>
          <w:iCs/>
        </w:rPr>
        <w:t>Frontiers in Psychology</w:t>
      </w:r>
      <w:r>
        <w:t>, 10, 2866.</w:t>
      </w:r>
    </w:p>
    <w:p w:rsidR="00750EF6" w:rsidRDefault="002B2CD6">
      <w:pPr>
        <w:pBdr>
          <w:top w:val="nil"/>
          <w:left w:val="nil"/>
          <w:bottom w:val="nil"/>
          <w:right w:val="nil"/>
          <w:between w:val="nil"/>
        </w:pBdr>
        <w:spacing w:after="240"/>
        <w:ind w:left="720" w:right="0" w:hanging="720"/>
        <w:rPr>
          <w:color w:val="000000"/>
        </w:rPr>
      </w:pPr>
      <w:proofErr w:type="spellStart"/>
      <w:r>
        <w:t>Munafò</w:t>
      </w:r>
      <w:proofErr w:type="spellEnd"/>
      <w:r>
        <w:t xml:space="preserve">, Marcus R., Brian A. </w:t>
      </w:r>
      <w:proofErr w:type="spellStart"/>
      <w:r>
        <w:t>Nosek</w:t>
      </w:r>
      <w:proofErr w:type="spellEnd"/>
      <w:r>
        <w:t xml:space="preserve">, Dorothy V. M. Bishop, Katherine S. Button, Christopher D. Chambers, Nathalie </w:t>
      </w:r>
      <w:proofErr w:type="spellStart"/>
      <w:r>
        <w:t>Percie</w:t>
      </w:r>
      <w:proofErr w:type="spellEnd"/>
      <w:r>
        <w:t xml:space="preserve"> du </w:t>
      </w:r>
      <w:proofErr w:type="spellStart"/>
      <w:r>
        <w:t>Sert</w:t>
      </w:r>
      <w:proofErr w:type="spellEnd"/>
      <w:r>
        <w:t xml:space="preserve">, Uri Simonsohn et al. (2017), “A Manifesto for Reproducible Science,” </w:t>
      </w:r>
      <w:r>
        <w:rPr>
          <w:i/>
          <w:iCs/>
        </w:rPr>
        <w:t xml:space="preserve">Nature Human </w:t>
      </w:r>
      <w:proofErr w:type="spellStart"/>
      <w:r>
        <w:rPr>
          <w:i/>
          <w:iCs/>
        </w:rPr>
        <w:t>Behaviour</w:t>
      </w:r>
      <w:proofErr w:type="spellEnd"/>
      <w:r>
        <w:t>, 1 (1), 1–9.</w:t>
      </w:r>
    </w:p>
    <w:p w:rsidR="00750EF6" w:rsidRDefault="002B2CD6">
      <w:pPr>
        <w:pBdr>
          <w:top w:val="nil"/>
          <w:left w:val="nil"/>
          <w:bottom w:val="nil"/>
          <w:right w:val="nil"/>
          <w:between w:val="nil"/>
        </w:pBdr>
        <w:spacing w:after="240"/>
        <w:ind w:left="720" w:right="0" w:hanging="720"/>
        <w:rPr>
          <w:color w:val="000000"/>
        </w:rPr>
      </w:pPr>
      <w:r>
        <w:rPr>
          <w:color w:val="000000"/>
        </w:rPr>
        <w:lastRenderedPageBreak/>
        <w:t xml:space="preserve">Open Science Collaboration (2015), “Estimating the Reproducibility of Psychological Science,” </w:t>
      </w:r>
      <w:r>
        <w:rPr>
          <w:i/>
          <w:iCs/>
          <w:color w:val="000000"/>
        </w:rPr>
        <w:t>Science</w:t>
      </w:r>
      <w:r>
        <w:rPr>
          <w:color w:val="000000"/>
        </w:rPr>
        <w:t>, 349(6251), aac4716</w:t>
      </w:r>
      <w:r>
        <w:t>.</w:t>
      </w:r>
    </w:p>
    <w:sdt>
      <w:sdtPr>
        <w:tag w:val="goog_rdk_2"/>
        <w:id w:val="-1389120158"/>
      </w:sdtPr>
      <w:sdtEndPr/>
      <w:sdtContent>
        <w:p w:rsidR="00750EF6" w:rsidRDefault="002B2CD6">
          <w:pPr>
            <w:pBdr>
              <w:top w:val="nil"/>
              <w:left w:val="nil"/>
              <w:bottom w:val="nil"/>
              <w:right w:val="nil"/>
              <w:between w:val="nil"/>
            </w:pBdr>
            <w:spacing w:after="240"/>
            <w:ind w:left="720" w:right="0" w:hanging="720"/>
            <w:rPr>
              <w:color w:val="000000"/>
            </w:rPr>
          </w:pPr>
          <w:proofErr w:type="spellStart"/>
          <w:r>
            <w:rPr>
              <w:color w:val="000000"/>
            </w:rPr>
            <w:t>Prelec</w:t>
          </w:r>
          <w:proofErr w:type="spellEnd"/>
          <w:r>
            <w:rPr>
              <w:color w:val="000000"/>
            </w:rPr>
            <w:t xml:space="preserve">, </w:t>
          </w:r>
          <w:proofErr w:type="spellStart"/>
          <w:r>
            <w:rPr>
              <w:color w:val="000000"/>
            </w:rPr>
            <w:t>Drazen</w:t>
          </w:r>
          <w:proofErr w:type="spellEnd"/>
          <w:r>
            <w:rPr>
              <w:color w:val="000000"/>
            </w:rPr>
            <w:t xml:space="preserve"> and George Loewenstein (1998), “The Red and the Black: Mental Accounting of Savings and Debt,” </w:t>
          </w:r>
          <w:r>
            <w:rPr>
              <w:i/>
              <w:iCs/>
              <w:color w:val="000000"/>
            </w:rPr>
            <w:t>Marketing Science</w:t>
          </w:r>
          <w:r>
            <w:rPr>
              <w:color w:val="000000"/>
            </w:rPr>
            <w:t>, 17(1), 4–28</w:t>
          </w:r>
          <w:r>
            <w:t>.</w:t>
          </w:r>
        </w:p>
      </w:sdtContent>
    </w:sdt>
    <w:sdt>
      <w:sdtPr>
        <w:tag w:val="goog_rdk_3"/>
        <w:id w:val="821246617"/>
      </w:sdtPr>
      <w:sdtEndPr/>
      <w:sdtContent>
        <w:p w:rsidR="00750EF6" w:rsidRDefault="002B2CD6" w:rsidP="00B446E1">
          <w:pPr>
            <w:spacing w:before="240" w:after="240"/>
            <w:ind w:left="720" w:right="0" w:hanging="720"/>
          </w:pPr>
          <w:proofErr w:type="spellStart"/>
          <w:r>
            <w:t>Polman</w:t>
          </w:r>
          <w:proofErr w:type="spellEnd"/>
          <w:r>
            <w:t xml:space="preserve">, Evan (2012a), “Effects of Self–Other Decision Making on Regulatory Focus and Choice Overload,” </w:t>
          </w:r>
          <w:r>
            <w:rPr>
              <w:i/>
              <w:iCs/>
            </w:rPr>
            <w:t>Journal of Personality and Social Psychology</w:t>
          </w:r>
          <w:r>
            <w:t>, 102 (5), 980.</w:t>
          </w:r>
        </w:p>
      </w:sdtContent>
    </w:sdt>
    <w:sdt>
      <w:sdtPr>
        <w:tag w:val="goog_rdk_4"/>
        <w:id w:val="1029935444"/>
      </w:sdtPr>
      <w:sdtEndPr/>
      <w:sdtContent>
        <w:p w:rsidR="00750EF6" w:rsidRDefault="002B2CD6" w:rsidP="00B446E1">
          <w:pPr>
            <w:spacing w:before="240" w:after="240"/>
            <w:ind w:left="720" w:right="0" w:hanging="720"/>
          </w:pPr>
          <w:proofErr w:type="spellStart"/>
          <w:r>
            <w:t>Polman</w:t>
          </w:r>
          <w:proofErr w:type="spellEnd"/>
          <w:r>
            <w:t xml:space="preserve">, Evan (2012b), “Self–Other Decision Making and Loss Aversion,” </w:t>
          </w:r>
          <w:r>
            <w:rPr>
              <w:i/>
              <w:iCs/>
            </w:rPr>
            <w:t>Organizational Behavior and Human Decision Processes</w:t>
          </w:r>
          <w:r>
            <w:t>, 119 (2), 141–50.</w:t>
          </w:r>
        </w:p>
      </w:sdtContent>
    </w:sdt>
    <w:p w:rsidR="00750EF6" w:rsidRDefault="002B2CD6">
      <w:pPr>
        <w:pBdr>
          <w:top w:val="nil"/>
          <w:left w:val="nil"/>
          <w:bottom w:val="nil"/>
          <w:right w:val="nil"/>
          <w:between w:val="nil"/>
        </w:pBdr>
        <w:spacing w:after="240"/>
        <w:ind w:left="720" w:right="0" w:hanging="720"/>
        <w:rPr>
          <w:color w:val="000000"/>
        </w:rPr>
      </w:pPr>
      <w:proofErr w:type="spellStart"/>
      <w:r>
        <w:rPr>
          <w:color w:val="000000"/>
        </w:rPr>
        <w:t>Raghubir</w:t>
      </w:r>
      <w:proofErr w:type="spellEnd"/>
      <w:r>
        <w:rPr>
          <w:color w:val="000000"/>
        </w:rPr>
        <w:t xml:space="preserve">, Priya (2006), “An Information Processing Review of the Subjective Value of Money and Prices,” </w:t>
      </w:r>
      <w:r>
        <w:rPr>
          <w:i/>
          <w:iCs/>
          <w:color w:val="000000"/>
        </w:rPr>
        <w:t>Journal of Business Research</w:t>
      </w:r>
      <w:r>
        <w:rPr>
          <w:color w:val="000000"/>
        </w:rPr>
        <w:t>, 59(10), 1053–62</w:t>
      </w:r>
      <w:r>
        <w:t>.</w:t>
      </w:r>
    </w:p>
    <w:p w:rsidR="00750EF6" w:rsidRDefault="002B2CD6">
      <w:pPr>
        <w:pBdr>
          <w:top w:val="nil"/>
          <w:left w:val="nil"/>
          <w:bottom w:val="nil"/>
          <w:right w:val="nil"/>
          <w:between w:val="nil"/>
        </w:pBdr>
        <w:spacing w:after="240"/>
        <w:ind w:left="720" w:right="0" w:hanging="720"/>
        <w:rPr>
          <w:color w:val="000000"/>
        </w:rPr>
      </w:pPr>
      <w:proofErr w:type="spellStart"/>
      <w:r>
        <w:rPr>
          <w:color w:val="000000"/>
        </w:rPr>
        <w:t>Raghubir</w:t>
      </w:r>
      <w:proofErr w:type="spellEnd"/>
      <w:r>
        <w:rPr>
          <w:color w:val="000000"/>
        </w:rPr>
        <w:t xml:space="preserve">, Priya and </w:t>
      </w:r>
      <w:proofErr w:type="spellStart"/>
      <w:r>
        <w:rPr>
          <w:color w:val="000000"/>
        </w:rPr>
        <w:t>Joydeep</w:t>
      </w:r>
      <w:proofErr w:type="spellEnd"/>
      <w:r>
        <w:rPr>
          <w:color w:val="000000"/>
        </w:rPr>
        <w:t xml:space="preserve"> Srivastava (2009), “The Denomination Effect,” </w:t>
      </w:r>
      <w:r>
        <w:rPr>
          <w:i/>
          <w:iCs/>
          <w:color w:val="000000"/>
        </w:rPr>
        <w:t>Journal of Consumer Research</w:t>
      </w:r>
      <w:r>
        <w:rPr>
          <w:color w:val="000000"/>
        </w:rPr>
        <w:t>, 36(4), 701–13.</w:t>
      </w:r>
    </w:p>
    <w:p w:rsidR="00750EF6" w:rsidRDefault="002B2CD6">
      <w:pPr>
        <w:pBdr>
          <w:top w:val="nil"/>
          <w:left w:val="nil"/>
          <w:bottom w:val="nil"/>
          <w:right w:val="nil"/>
          <w:between w:val="nil"/>
        </w:pBdr>
        <w:spacing w:after="240"/>
        <w:ind w:left="720" w:right="0" w:hanging="720"/>
      </w:pPr>
      <w:r>
        <w:t xml:space="preserve">Reinholtz, Nicholas, Daniel M. Bartels and Jeffrey R. Parker (2015), “On the Mental Accounting of Restricted-Use Funds: How Gift Cards Change What People Purchase,” </w:t>
      </w:r>
      <w:r>
        <w:rPr>
          <w:i/>
          <w:iCs/>
        </w:rPr>
        <w:t>Journal of Consumer Research</w:t>
      </w:r>
      <w:r>
        <w:t>, 42 (4), 596–614.</w:t>
      </w:r>
    </w:p>
    <w:p w:rsidR="00750EF6" w:rsidRDefault="002B2CD6">
      <w:pPr>
        <w:pBdr>
          <w:top w:val="nil"/>
          <w:left w:val="nil"/>
          <w:bottom w:val="nil"/>
          <w:right w:val="nil"/>
          <w:between w:val="nil"/>
        </w:pBdr>
        <w:spacing w:after="240"/>
        <w:ind w:left="720" w:right="0" w:hanging="720"/>
        <w:rPr>
          <w:color w:val="000000"/>
        </w:rPr>
      </w:pPr>
      <w:proofErr w:type="spellStart"/>
      <w:r>
        <w:t>Reutskaja</w:t>
      </w:r>
      <w:proofErr w:type="spellEnd"/>
      <w:r>
        <w:t xml:space="preserve">, Elena, Jeremiah </w:t>
      </w:r>
      <w:proofErr w:type="spellStart"/>
      <w:r>
        <w:t>Iyamabo</w:t>
      </w:r>
      <w:proofErr w:type="spellEnd"/>
      <w:r>
        <w:t xml:space="preserve">, Priya </w:t>
      </w:r>
      <w:proofErr w:type="spellStart"/>
      <w:r>
        <w:t>Raghubir</w:t>
      </w:r>
      <w:proofErr w:type="spellEnd"/>
      <w:r>
        <w:t xml:space="preserve"> and </w:t>
      </w:r>
      <w:proofErr w:type="spellStart"/>
      <w:r>
        <w:t>Iñigo</w:t>
      </w:r>
      <w:proofErr w:type="spellEnd"/>
      <w:r>
        <w:t xml:space="preserve"> Gallo (2020), “Price-Denomination Effect: Choosing to Pay </w:t>
      </w:r>
      <w:proofErr w:type="gramStart"/>
      <w:r>
        <w:t>With</w:t>
      </w:r>
      <w:proofErr w:type="gramEnd"/>
      <w:r>
        <w:t xml:space="preserve"> Denominations That Are the Same as the Product Prices,” </w:t>
      </w:r>
      <w:r>
        <w:rPr>
          <w:i/>
          <w:iCs/>
        </w:rPr>
        <w:t>Frontiers in Psychology</w:t>
      </w:r>
      <w:r>
        <w:t>, 11.</w:t>
      </w:r>
    </w:p>
    <w:p w:rsidR="00750EF6" w:rsidRDefault="002B2CD6">
      <w:pPr>
        <w:pBdr>
          <w:top w:val="nil"/>
          <w:left w:val="nil"/>
          <w:bottom w:val="nil"/>
          <w:right w:val="nil"/>
          <w:between w:val="nil"/>
        </w:pBdr>
        <w:spacing w:after="240"/>
        <w:ind w:left="720" w:right="0" w:hanging="720"/>
        <w:rPr>
          <w:color w:val="000000"/>
        </w:rPr>
      </w:pPr>
      <w:r w:rsidRPr="00B446E1">
        <w:rPr>
          <w:color w:val="000000"/>
          <w:lang w:val="it-IT"/>
        </w:rPr>
        <w:lastRenderedPageBreak/>
        <w:t xml:space="preserve">Ruggeri, </w:t>
      </w:r>
      <w:proofErr w:type="spellStart"/>
      <w:r w:rsidRPr="00B446E1">
        <w:rPr>
          <w:color w:val="000000"/>
          <w:lang w:val="it-IT"/>
        </w:rPr>
        <w:t>Kai</w:t>
      </w:r>
      <w:proofErr w:type="spellEnd"/>
      <w:r w:rsidRPr="00B446E1">
        <w:rPr>
          <w:color w:val="000000"/>
          <w:lang w:val="it-IT"/>
        </w:rPr>
        <w:t xml:space="preserve">, Sonia </w:t>
      </w:r>
      <w:proofErr w:type="spellStart"/>
      <w:r w:rsidRPr="00B446E1">
        <w:rPr>
          <w:color w:val="000000"/>
          <w:lang w:val="it-IT"/>
        </w:rPr>
        <w:t>Alí</w:t>
      </w:r>
      <w:proofErr w:type="spellEnd"/>
      <w:r w:rsidRPr="00B446E1">
        <w:rPr>
          <w:color w:val="000000"/>
          <w:lang w:val="it-IT"/>
        </w:rPr>
        <w:t xml:space="preserve">, Mari Louise </w:t>
      </w:r>
      <w:proofErr w:type="spellStart"/>
      <w:r w:rsidRPr="00B446E1">
        <w:rPr>
          <w:color w:val="000000"/>
          <w:lang w:val="it-IT"/>
        </w:rPr>
        <w:t>Berge</w:t>
      </w:r>
      <w:proofErr w:type="spellEnd"/>
      <w:r w:rsidRPr="00B446E1">
        <w:rPr>
          <w:color w:val="000000"/>
          <w:lang w:val="it-IT"/>
        </w:rPr>
        <w:t xml:space="preserve">, Giulia Bertoldo, </w:t>
      </w:r>
      <w:proofErr w:type="spellStart"/>
      <w:r w:rsidRPr="00B446E1">
        <w:rPr>
          <w:color w:val="000000"/>
          <w:lang w:val="it-IT"/>
        </w:rPr>
        <w:t>Ludvig</w:t>
      </w:r>
      <w:proofErr w:type="spellEnd"/>
      <w:r w:rsidRPr="00B446E1">
        <w:rPr>
          <w:color w:val="000000"/>
          <w:lang w:val="it-IT"/>
        </w:rPr>
        <w:t xml:space="preserve"> D. </w:t>
      </w:r>
      <w:proofErr w:type="spellStart"/>
      <w:r w:rsidRPr="00B446E1">
        <w:rPr>
          <w:color w:val="000000"/>
          <w:lang w:val="it-IT"/>
        </w:rPr>
        <w:t>Bjørndal</w:t>
      </w:r>
      <w:proofErr w:type="spellEnd"/>
      <w:r w:rsidRPr="00B446E1">
        <w:rPr>
          <w:color w:val="000000"/>
          <w:lang w:val="it-IT"/>
        </w:rPr>
        <w:t xml:space="preserve">, Anna </w:t>
      </w:r>
      <w:proofErr w:type="spellStart"/>
      <w:r w:rsidRPr="00B446E1">
        <w:rPr>
          <w:color w:val="000000"/>
          <w:lang w:val="it-IT"/>
        </w:rPr>
        <w:t>Cortijos</w:t>
      </w:r>
      <w:proofErr w:type="spellEnd"/>
      <w:r w:rsidRPr="00B446E1">
        <w:rPr>
          <w:color w:val="000000"/>
          <w:lang w:val="it-IT"/>
        </w:rPr>
        <w:t xml:space="preserve">-Bernabeu, Clair </w:t>
      </w:r>
      <w:proofErr w:type="spellStart"/>
      <w:r w:rsidRPr="00B446E1">
        <w:rPr>
          <w:color w:val="000000"/>
          <w:lang w:val="it-IT"/>
        </w:rPr>
        <w:t>Davison</w:t>
      </w:r>
      <w:proofErr w:type="spellEnd"/>
      <w:r w:rsidRPr="00B446E1">
        <w:rPr>
          <w:color w:val="000000"/>
          <w:lang w:val="it-IT"/>
        </w:rPr>
        <w:t xml:space="preserve">, </w:t>
      </w:r>
      <w:r w:rsidRPr="00B446E1">
        <w:rPr>
          <w:lang w:val="it-IT"/>
        </w:rPr>
        <w:t>et al.</w:t>
      </w:r>
      <w:r w:rsidRPr="00B446E1">
        <w:rPr>
          <w:color w:val="000000"/>
          <w:lang w:val="it-IT"/>
        </w:rPr>
        <w:t xml:space="preserve"> </w:t>
      </w:r>
      <w:r>
        <w:rPr>
          <w:color w:val="000000"/>
        </w:rPr>
        <w:t xml:space="preserve">(2020), “Replicating Patterns of Prospect Theory for Decision under Risk,” </w:t>
      </w:r>
      <w:r>
        <w:rPr>
          <w:i/>
          <w:iCs/>
          <w:color w:val="000000"/>
        </w:rPr>
        <w:t xml:space="preserve">Nature Human </w:t>
      </w:r>
      <w:proofErr w:type="spellStart"/>
      <w:r>
        <w:rPr>
          <w:i/>
          <w:iCs/>
          <w:color w:val="000000"/>
        </w:rPr>
        <w:t>Behaviour</w:t>
      </w:r>
      <w:proofErr w:type="spellEnd"/>
      <w:r>
        <w:rPr>
          <w:color w:val="000000"/>
        </w:rPr>
        <w:t>, 4(6), 622–33</w:t>
      </w:r>
      <w:r>
        <w:t>.</w:t>
      </w:r>
    </w:p>
    <w:p w:rsidR="00750EF6" w:rsidRDefault="002B2CD6">
      <w:pPr>
        <w:pBdr>
          <w:top w:val="nil"/>
          <w:left w:val="nil"/>
          <w:bottom w:val="nil"/>
          <w:right w:val="nil"/>
          <w:between w:val="nil"/>
        </w:pBdr>
        <w:spacing w:after="240"/>
        <w:ind w:left="720" w:right="0" w:hanging="720"/>
        <w:rPr>
          <w:color w:val="000000"/>
        </w:rPr>
      </w:pPr>
      <w:r>
        <w:rPr>
          <w:color w:val="000000"/>
        </w:rPr>
        <w:t xml:space="preserve">Ruggeri, Kai, Amma </w:t>
      </w:r>
      <w:proofErr w:type="spellStart"/>
      <w:r>
        <w:rPr>
          <w:color w:val="000000"/>
        </w:rPr>
        <w:t>Panin</w:t>
      </w:r>
      <w:proofErr w:type="spellEnd"/>
      <w:r>
        <w:rPr>
          <w:color w:val="000000"/>
        </w:rPr>
        <w:t xml:space="preserve">, </w:t>
      </w:r>
      <w:proofErr w:type="spellStart"/>
      <w:r>
        <w:rPr>
          <w:color w:val="000000"/>
        </w:rPr>
        <w:t>Milica</w:t>
      </w:r>
      <w:proofErr w:type="spellEnd"/>
      <w:r>
        <w:rPr>
          <w:color w:val="000000"/>
        </w:rPr>
        <w:t xml:space="preserve"> </w:t>
      </w:r>
      <w:proofErr w:type="spellStart"/>
      <w:r>
        <w:rPr>
          <w:color w:val="000000"/>
        </w:rPr>
        <w:t>Vdovic</w:t>
      </w:r>
      <w:proofErr w:type="spellEnd"/>
      <w:r>
        <w:rPr>
          <w:color w:val="000000"/>
        </w:rPr>
        <w:t xml:space="preserve">, Bojana </w:t>
      </w:r>
      <w:proofErr w:type="spellStart"/>
      <w:r>
        <w:rPr>
          <w:color w:val="000000"/>
        </w:rPr>
        <w:t>Većkalov</w:t>
      </w:r>
      <w:proofErr w:type="spellEnd"/>
      <w:r>
        <w:rPr>
          <w:color w:val="000000"/>
        </w:rPr>
        <w:t xml:space="preserve">, Nazeer Abdul-Salaam, </w:t>
      </w:r>
      <w:proofErr w:type="spellStart"/>
      <w:r>
        <w:rPr>
          <w:color w:val="000000"/>
        </w:rPr>
        <w:t>Jascha</w:t>
      </w:r>
      <w:proofErr w:type="spellEnd"/>
      <w:r>
        <w:rPr>
          <w:color w:val="000000"/>
        </w:rPr>
        <w:t xml:space="preserve"> </w:t>
      </w:r>
      <w:proofErr w:type="spellStart"/>
      <w:r>
        <w:rPr>
          <w:color w:val="000000"/>
        </w:rPr>
        <w:t>Achterberg</w:t>
      </w:r>
      <w:proofErr w:type="spellEnd"/>
      <w:r>
        <w:rPr>
          <w:color w:val="000000"/>
        </w:rPr>
        <w:t xml:space="preserve">, Carla </w:t>
      </w:r>
      <w:proofErr w:type="spellStart"/>
      <w:r>
        <w:rPr>
          <w:color w:val="000000"/>
        </w:rPr>
        <w:t>Akil</w:t>
      </w:r>
      <w:proofErr w:type="spellEnd"/>
      <w:r>
        <w:rPr>
          <w:color w:val="000000"/>
        </w:rPr>
        <w:t xml:space="preserve">, </w:t>
      </w:r>
      <w:r>
        <w:t>et al.</w:t>
      </w:r>
      <w:r>
        <w:rPr>
          <w:color w:val="000000"/>
        </w:rPr>
        <w:t xml:space="preserve"> (2022), “The </w:t>
      </w:r>
      <w:proofErr w:type="spellStart"/>
      <w:r>
        <w:rPr>
          <w:color w:val="000000"/>
        </w:rPr>
        <w:t>Globalizability</w:t>
      </w:r>
      <w:proofErr w:type="spellEnd"/>
      <w:r>
        <w:rPr>
          <w:color w:val="000000"/>
        </w:rPr>
        <w:t xml:space="preserve"> of Temporal Discounting,” </w:t>
      </w:r>
      <w:r>
        <w:rPr>
          <w:i/>
          <w:iCs/>
          <w:color w:val="000000"/>
        </w:rPr>
        <w:t xml:space="preserve">Nature Human </w:t>
      </w:r>
      <w:proofErr w:type="spellStart"/>
      <w:r>
        <w:rPr>
          <w:i/>
          <w:iCs/>
          <w:color w:val="000000"/>
        </w:rPr>
        <w:t>Behaviour</w:t>
      </w:r>
      <w:proofErr w:type="spellEnd"/>
      <w:r>
        <w:rPr>
          <w:color w:val="000000"/>
        </w:rPr>
        <w:t>, 6(10), 1386–97</w:t>
      </w:r>
      <w:r>
        <w:t>.</w:t>
      </w:r>
    </w:p>
    <w:p w:rsidR="00750EF6" w:rsidRDefault="002B2CD6">
      <w:pPr>
        <w:pBdr>
          <w:top w:val="nil"/>
          <w:left w:val="nil"/>
          <w:bottom w:val="nil"/>
          <w:right w:val="nil"/>
          <w:between w:val="nil"/>
        </w:pBdr>
        <w:spacing w:after="240"/>
        <w:ind w:left="720" w:right="0" w:hanging="720"/>
      </w:pPr>
      <w:proofErr w:type="spellStart"/>
      <w:r>
        <w:t>Setterfield</w:t>
      </w:r>
      <w:proofErr w:type="spellEnd"/>
      <w:r>
        <w:t xml:space="preserve">, Mark and Yun K. Kim (2024), “How Financially Fragile Can Households Become? Household Borrowing, the Welfare State, and Macroeconomic Resilience,” </w:t>
      </w:r>
      <w:r>
        <w:rPr>
          <w:i/>
          <w:iCs/>
        </w:rPr>
        <w:t>Review of Evolutionary Political Economy</w:t>
      </w:r>
      <w:r>
        <w:t>, 5 (1), 121–51.</w:t>
      </w:r>
    </w:p>
    <w:p w:rsidR="00750EF6" w:rsidRDefault="002B2CD6">
      <w:pPr>
        <w:pBdr>
          <w:top w:val="nil"/>
          <w:left w:val="nil"/>
          <w:bottom w:val="nil"/>
          <w:right w:val="nil"/>
          <w:between w:val="nil"/>
        </w:pBdr>
        <w:spacing w:after="240"/>
        <w:ind w:left="720" w:right="0" w:hanging="720"/>
        <w:rPr>
          <w:color w:val="000000"/>
        </w:rPr>
      </w:pPr>
      <w:proofErr w:type="spellStart"/>
      <w:r>
        <w:rPr>
          <w:color w:val="000000"/>
        </w:rPr>
        <w:t>Shafir</w:t>
      </w:r>
      <w:proofErr w:type="spellEnd"/>
      <w:r>
        <w:rPr>
          <w:color w:val="000000"/>
        </w:rPr>
        <w:t xml:space="preserve">, </w:t>
      </w:r>
      <w:proofErr w:type="spellStart"/>
      <w:r>
        <w:rPr>
          <w:color w:val="000000"/>
        </w:rPr>
        <w:t>Eldar</w:t>
      </w:r>
      <w:proofErr w:type="spellEnd"/>
      <w:r>
        <w:rPr>
          <w:color w:val="000000"/>
        </w:rPr>
        <w:t xml:space="preserve"> and Richard H. Thaler (2006), “Invest Now, Drink Later, Spend Never: On the Mental Accounting of Delayed Consumption,” </w:t>
      </w:r>
      <w:r>
        <w:rPr>
          <w:i/>
          <w:iCs/>
          <w:color w:val="000000"/>
        </w:rPr>
        <w:t>Journal of Economic Psychology</w:t>
      </w:r>
      <w:r>
        <w:rPr>
          <w:color w:val="000000"/>
        </w:rPr>
        <w:t>, 27(5), 694–712</w:t>
      </w:r>
      <w:r>
        <w:t>.</w:t>
      </w:r>
    </w:p>
    <w:p w:rsidR="00750EF6" w:rsidRDefault="002B2CD6">
      <w:pPr>
        <w:spacing w:before="240" w:after="240"/>
        <w:ind w:left="720" w:right="0" w:hanging="720"/>
      </w:pPr>
      <w:r>
        <w:t xml:space="preserve">Shah, Muhammad </w:t>
      </w:r>
      <w:proofErr w:type="spellStart"/>
      <w:r>
        <w:t>Umer</w:t>
      </w:r>
      <w:proofErr w:type="spellEnd"/>
      <w:r>
        <w:t xml:space="preserve"> </w:t>
      </w:r>
      <w:proofErr w:type="spellStart"/>
      <w:r>
        <w:t>Draz</w:t>
      </w:r>
      <w:proofErr w:type="spellEnd"/>
      <w:r>
        <w:t xml:space="preserve">, Imran Ullah Khan and Nasir Uddin Khan (2024), “The Role of Digital Payments in Overspending Behavior: A Mental Accounting Perspective,” </w:t>
      </w:r>
      <w:r>
        <w:rPr>
          <w:i/>
          <w:iCs/>
        </w:rPr>
        <w:t>International Journal of Emerging Markets</w:t>
      </w:r>
      <w:r>
        <w:t>, forthcoming.</w:t>
      </w:r>
    </w:p>
    <w:p w:rsidR="00750EF6" w:rsidRDefault="002B2CD6">
      <w:pPr>
        <w:pBdr>
          <w:top w:val="nil"/>
          <w:left w:val="nil"/>
          <w:bottom w:val="nil"/>
          <w:right w:val="nil"/>
          <w:between w:val="nil"/>
        </w:pBdr>
        <w:spacing w:after="240"/>
        <w:ind w:left="720" w:right="0" w:hanging="720"/>
        <w:rPr>
          <w:color w:val="000000"/>
        </w:rPr>
      </w:pPr>
      <w:proofErr w:type="spellStart"/>
      <w:r>
        <w:rPr>
          <w:color w:val="000000"/>
        </w:rPr>
        <w:t>Shefrin</w:t>
      </w:r>
      <w:proofErr w:type="spellEnd"/>
      <w:r>
        <w:rPr>
          <w:color w:val="000000"/>
        </w:rPr>
        <w:t xml:space="preserve">, Hersh M. and Meir Statman (2000), “Behavioral Portfolio Theory,” </w:t>
      </w:r>
      <w:r>
        <w:rPr>
          <w:i/>
          <w:iCs/>
          <w:color w:val="000000"/>
        </w:rPr>
        <w:t>Journal of Financial and Quantitative Analysis</w:t>
      </w:r>
      <w:r>
        <w:rPr>
          <w:color w:val="000000"/>
        </w:rPr>
        <w:t>, 35(2), 127–51</w:t>
      </w:r>
      <w:r>
        <w:t>.</w:t>
      </w:r>
    </w:p>
    <w:p w:rsidR="00750EF6" w:rsidRDefault="002B2CD6">
      <w:pPr>
        <w:pBdr>
          <w:top w:val="nil"/>
          <w:left w:val="nil"/>
          <w:bottom w:val="nil"/>
          <w:right w:val="nil"/>
          <w:between w:val="nil"/>
        </w:pBdr>
        <w:spacing w:after="240"/>
        <w:ind w:left="720" w:right="0" w:hanging="720"/>
        <w:rPr>
          <w:color w:val="000000"/>
        </w:rPr>
      </w:pPr>
      <w:proofErr w:type="spellStart"/>
      <w:r>
        <w:rPr>
          <w:color w:val="000000"/>
        </w:rPr>
        <w:t>Shefrin</w:t>
      </w:r>
      <w:proofErr w:type="spellEnd"/>
      <w:r>
        <w:rPr>
          <w:color w:val="000000"/>
        </w:rPr>
        <w:t xml:space="preserve">, Hersh M. and Richard H. Thaler (1988), “The Behavioral Life-Cycle Hypothesis,” </w:t>
      </w:r>
      <w:r>
        <w:rPr>
          <w:i/>
          <w:iCs/>
          <w:color w:val="000000"/>
        </w:rPr>
        <w:t>Economic Inquiry</w:t>
      </w:r>
      <w:r>
        <w:rPr>
          <w:color w:val="000000"/>
        </w:rPr>
        <w:t>, 26(4), 609–43</w:t>
      </w:r>
      <w:r>
        <w:t>.</w:t>
      </w:r>
    </w:p>
    <w:sdt>
      <w:sdtPr>
        <w:tag w:val="goog_rdk_5"/>
        <w:id w:val="-1446488933"/>
      </w:sdtPr>
      <w:sdtEndPr/>
      <w:sdtContent>
        <w:p w:rsidR="00750EF6" w:rsidRDefault="002B2CD6" w:rsidP="00B446E1">
          <w:pPr>
            <w:spacing w:before="240" w:after="240"/>
            <w:ind w:left="708" w:right="0" w:hanging="566"/>
          </w:pPr>
          <w:r>
            <w:t xml:space="preserve">Shiller, Robert (2017), “Richard Thaler Is a Controversial Nobel Prize Winner – but a Deserving One,” </w:t>
          </w:r>
          <w:r>
            <w:rPr>
              <w:i/>
              <w:iCs/>
            </w:rPr>
            <w:t>The Guardian</w:t>
          </w:r>
          <w:r>
            <w:t xml:space="preserve">, October 11. </w:t>
          </w:r>
          <w:hyperlink r:id="rId17">
            <w:r>
              <w:t>https://www.theguardian.com/world/2017/oct/11/richard-thaler-nobel-prize-winner-behavioural-economics</w:t>
            </w:r>
          </w:hyperlink>
          <w:r>
            <w:t>.</w:t>
          </w:r>
        </w:p>
      </w:sdtContent>
    </w:sdt>
    <w:p w:rsidR="00750EF6" w:rsidRDefault="002B2CD6">
      <w:pPr>
        <w:spacing w:before="240" w:after="240"/>
        <w:ind w:left="720" w:right="0" w:hanging="720"/>
      </w:pPr>
      <w:r>
        <w:t xml:space="preserve">Shy, Oz (2023), “Cash Is Alive: How Economists Explain Holding and Use of Cash,” </w:t>
      </w:r>
      <w:r>
        <w:rPr>
          <w:i/>
          <w:iCs/>
        </w:rPr>
        <w:t>Journal of Economic Literature</w:t>
      </w:r>
      <w:r>
        <w:t>, 61 (4), 1465–1520.</w:t>
      </w:r>
    </w:p>
    <w:p w:rsidR="00750EF6" w:rsidRDefault="002B2CD6">
      <w:pPr>
        <w:pBdr>
          <w:top w:val="nil"/>
          <w:left w:val="nil"/>
          <w:bottom w:val="nil"/>
          <w:right w:val="nil"/>
          <w:between w:val="nil"/>
        </w:pBdr>
        <w:spacing w:after="240"/>
        <w:ind w:left="720" w:right="0" w:hanging="720"/>
        <w:rPr>
          <w:color w:val="000000"/>
        </w:rPr>
      </w:pPr>
      <w:r>
        <w:rPr>
          <w:color w:val="000000"/>
        </w:rPr>
        <w:t xml:space="preserve">Silva, Emmanuel Marques, Rafael de </w:t>
      </w:r>
      <w:proofErr w:type="spellStart"/>
      <w:r>
        <w:rPr>
          <w:color w:val="000000"/>
        </w:rPr>
        <w:t>Lacerda</w:t>
      </w:r>
      <w:proofErr w:type="spellEnd"/>
      <w:r>
        <w:rPr>
          <w:color w:val="000000"/>
        </w:rPr>
        <w:t xml:space="preserve"> Moreira, and Patricia Maria </w:t>
      </w:r>
      <w:proofErr w:type="spellStart"/>
      <w:r>
        <w:rPr>
          <w:color w:val="000000"/>
        </w:rPr>
        <w:t>Bortolon</w:t>
      </w:r>
      <w:proofErr w:type="spellEnd"/>
      <w:r>
        <w:rPr>
          <w:color w:val="000000"/>
        </w:rPr>
        <w:t xml:space="preserve"> (2023), “Mental Accounting and Decision Making: A Systematic Literature Review,” </w:t>
      </w:r>
      <w:r>
        <w:rPr>
          <w:i/>
          <w:iCs/>
          <w:color w:val="000000"/>
        </w:rPr>
        <w:t>Journal of Behavioral and Experimental Economics</w:t>
      </w:r>
      <w:r>
        <w:rPr>
          <w:color w:val="000000"/>
        </w:rPr>
        <w:t>, 107, 102092</w:t>
      </w:r>
      <w:r>
        <w:t>.</w:t>
      </w:r>
    </w:p>
    <w:p w:rsidR="00750EF6" w:rsidRDefault="002B2CD6">
      <w:pPr>
        <w:pBdr>
          <w:top w:val="nil"/>
          <w:left w:val="nil"/>
          <w:bottom w:val="nil"/>
          <w:right w:val="nil"/>
          <w:between w:val="nil"/>
        </w:pBdr>
        <w:spacing w:after="240"/>
        <w:ind w:left="720" w:right="0" w:hanging="720"/>
        <w:rPr>
          <w:color w:val="000000"/>
        </w:rPr>
      </w:pPr>
      <w:r>
        <w:rPr>
          <w:color w:val="000000"/>
        </w:rPr>
        <w:t xml:space="preserve">Simmons, Joseph P., Leif D. Nelson, and Uri Simonsohn (2011), “False-Positive Psychology: Undisclosed Flexibility in Data Collection and Analysis Allows Presenting Anything as Significant,” </w:t>
      </w:r>
      <w:r>
        <w:rPr>
          <w:i/>
          <w:iCs/>
          <w:color w:val="000000"/>
        </w:rPr>
        <w:t>Psychological Science</w:t>
      </w:r>
      <w:r>
        <w:rPr>
          <w:color w:val="000000"/>
        </w:rPr>
        <w:t>, 22(11), 1359–66</w:t>
      </w:r>
      <w:r>
        <w:t>.</w:t>
      </w:r>
    </w:p>
    <w:p w:rsidR="00750EF6" w:rsidRDefault="002B2CD6">
      <w:pPr>
        <w:pBdr>
          <w:top w:val="nil"/>
          <w:left w:val="nil"/>
          <w:bottom w:val="nil"/>
          <w:right w:val="nil"/>
          <w:between w:val="nil"/>
        </w:pBdr>
        <w:spacing w:after="240"/>
        <w:ind w:left="720" w:right="0" w:hanging="720"/>
        <w:rPr>
          <w:color w:val="000000"/>
        </w:rPr>
      </w:pPr>
      <w:r>
        <w:rPr>
          <w:color w:val="000000"/>
        </w:rPr>
        <w:t xml:space="preserve">Simonsohn, Uri, Leif D. Nelson, and Joseph P. Simmons (2014), “P-Curve: A Key to the File-Drawer,” </w:t>
      </w:r>
      <w:r>
        <w:rPr>
          <w:i/>
          <w:iCs/>
          <w:color w:val="000000"/>
        </w:rPr>
        <w:t>Journal of Experimental Psychology: General</w:t>
      </w:r>
      <w:r>
        <w:rPr>
          <w:color w:val="000000"/>
        </w:rPr>
        <w:t>, 143(2), 534–47.</w:t>
      </w:r>
    </w:p>
    <w:p w:rsidR="00750EF6" w:rsidRDefault="002B2CD6">
      <w:pPr>
        <w:pBdr>
          <w:top w:val="nil"/>
          <w:left w:val="nil"/>
          <w:bottom w:val="nil"/>
          <w:right w:val="nil"/>
          <w:between w:val="nil"/>
        </w:pBdr>
        <w:spacing w:after="240"/>
        <w:ind w:left="720" w:right="0" w:hanging="720"/>
        <w:rPr>
          <w:color w:val="000000"/>
        </w:rPr>
      </w:pPr>
      <w:proofErr w:type="spellStart"/>
      <w:r>
        <w:rPr>
          <w:color w:val="000000"/>
        </w:rPr>
        <w:t>Skagerlund</w:t>
      </w:r>
      <w:proofErr w:type="spellEnd"/>
      <w:r>
        <w:rPr>
          <w:color w:val="000000"/>
        </w:rPr>
        <w:t xml:space="preserve">, Kenny, Thérèse Lind, Camilla </w:t>
      </w:r>
      <w:proofErr w:type="spellStart"/>
      <w:r>
        <w:rPr>
          <w:color w:val="000000"/>
        </w:rPr>
        <w:t>Strömbäck</w:t>
      </w:r>
      <w:proofErr w:type="spellEnd"/>
      <w:r>
        <w:rPr>
          <w:color w:val="000000"/>
        </w:rPr>
        <w:t xml:space="preserve">, Gustav </w:t>
      </w:r>
      <w:proofErr w:type="spellStart"/>
      <w:r>
        <w:rPr>
          <w:color w:val="000000"/>
        </w:rPr>
        <w:t>Tinghög</w:t>
      </w:r>
      <w:proofErr w:type="spellEnd"/>
      <w:r>
        <w:rPr>
          <w:color w:val="000000"/>
        </w:rPr>
        <w:t xml:space="preserve">, and Daniel </w:t>
      </w:r>
      <w:proofErr w:type="spellStart"/>
      <w:r>
        <w:rPr>
          <w:color w:val="000000"/>
        </w:rPr>
        <w:t>Västfjäll</w:t>
      </w:r>
      <w:proofErr w:type="spellEnd"/>
      <w:r>
        <w:rPr>
          <w:color w:val="000000"/>
        </w:rPr>
        <w:t xml:space="preserve"> (2018), “Financial Literacy and the Role of Numeracy–How Individuals’ Attitude and Affinity with Numbers Influence Financial Literacy,” </w:t>
      </w:r>
      <w:r>
        <w:rPr>
          <w:i/>
          <w:iCs/>
          <w:color w:val="000000"/>
        </w:rPr>
        <w:t>Journal of Behavioral and Experimental Economics</w:t>
      </w:r>
      <w:r>
        <w:rPr>
          <w:color w:val="000000"/>
        </w:rPr>
        <w:t>, 74, 18–25</w:t>
      </w:r>
      <w:r>
        <w:t>.</w:t>
      </w:r>
    </w:p>
    <w:p w:rsidR="00750EF6" w:rsidRDefault="002B2CD6">
      <w:pPr>
        <w:pBdr>
          <w:top w:val="nil"/>
          <w:left w:val="nil"/>
          <w:bottom w:val="nil"/>
          <w:right w:val="nil"/>
          <w:between w:val="nil"/>
        </w:pBdr>
        <w:spacing w:after="240"/>
        <w:ind w:left="720" w:right="0" w:hanging="720"/>
        <w:rPr>
          <w:color w:val="000000"/>
        </w:rPr>
      </w:pPr>
      <w:proofErr w:type="spellStart"/>
      <w:r>
        <w:rPr>
          <w:color w:val="000000"/>
        </w:rPr>
        <w:t>Skwara</w:t>
      </w:r>
      <w:proofErr w:type="spellEnd"/>
      <w:r>
        <w:rPr>
          <w:color w:val="000000"/>
        </w:rPr>
        <w:t xml:space="preserve">, Florian (2023), “Effects of Mental Accounting on Purchase Decision Processes: A Systematic Review and Research Agenda,” </w:t>
      </w:r>
      <w:r>
        <w:rPr>
          <w:i/>
          <w:iCs/>
          <w:color w:val="000000"/>
        </w:rPr>
        <w:t xml:space="preserve">Journal of Consumer </w:t>
      </w:r>
      <w:proofErr w:type="spellStart"/>
      <w:r>
        <w:rPr>
          <w:i/>
          <w:iCs/>
          <w:color w:val="000000"/>
        </w:rPr>
        <w:t>Behaviour</w:t>
      </w:r>
      <w:proofErr w:type="spellEnd"/>
      <w:r>
        <w:rPr>
          <w:color w:val="000000"/>
        </w:rPr>
        <w:t>, 22(5), 1265–81</w:t>
      </w:r>
      <w:r>
        <w:t>.</w:t>
      </w:r>
    </w:p>
    <w:p w:rsidR="00750EF6" w:rsidRDefault="002B2CD6">
      <w:pPr>
        <w:pBdr>
          <w:top w:val="nil"/>
          <w:left w:val="nil"/>
          <w:bottom w:val="nil"/>
          <w:right w:val="nil"/>
          <w:between w:val="nil"/>
        </w:pBdr>
        <w:spacing w:after="240"/>
        <w:ind w:left="720" w:right="0" w:hanging="720"/>
        <w:rPr>
          <w:color w:val="000000"/>
        </w:rPr>
      </w:pPr>
      <w:proofErr w:type="spellStart"/>
      <w:r>
        <w:rPr>
          <w:color w:val="000000"/>
        </w:rPr>
        <w:lastRenderedPageBreak/>
        <w:t>Soman</w:t>
      </w:r>
      <w:proofErr w:type="spellEnd"/>
      <w:r>
        <w:rPr>
          <w:color w:val="000000"/>
        </w:rPr>
        <w:t xml:space="preserve">, </w:t>
      </w:r>
      <w:proofErr w:type="spellStart"/>
      <w:r>
        <w:rPr>
          <w:color w:val="000000"/>
        </w:rPr>
        <w:t>Dilip</w:t>
      </w:r>
      <w:proofErr w:type="spellEnd"/>
      <w:r>
        <w:rPr>
          <w:color w:val="000000"/>
        </w:rPr>
        <w:t xml:space="preserve"> (2001), “Effects of Payment Mechanism on Spending Behavior: The Role of Rehearsal and Immediacy of Payments,” </w:t>
      </w:r>
      <w:r>
        <w:rPr>
          <w:i/>
          <w:iCs/>
          <w:color w:val="000000"/>
        </w:rPr>
        <w:t>Journal of Consumer Research</w:t>
      </w:r>
      <w:r>
        <w:rPr>
          <w:color w:val="000000"/>
        </w:rPr>
        <w:t>, 27(4), 460–74</w:t>
      </w:r>
      <w:r>
        <w:t>.</w:t>
      </w:r>
    </w:p>
    <w:p w:rsidR="00750EF6" w:rsidRDefault="002B2CD6">
      <w:pPr>
        <w:pBdr>
          <w:top w:val="nil"/>
          <w:left w:val="nil"/>
          <w:bottom w:val="nil"/>
          <w:right w:val="nil"/>
          <w:between w:val="nil"/>
        </w:pBdr>
        <w:spacing w:after="240"/>
        <w:ind w:left="720" w:right="0" w:hanging="720"/>
      </w:pPr>
      <w:proofErr w:type="spellStart"/>
      <w:r>
        <w:t>Soman</w:t>
      </w:r>
      <w:proofErr w:type="spellEnd"/>
      <w:r>
        <w:t xml:space="preserve">, </w:t>
      </w:r>
      <w:proofErr w:type="spellStart"/>
      <w:r>
        <w:t>Dilip</w:t>
      </w:r>
      <w:proofErr w:type="spellEnd"/>
      <w:r>
        <w:t xml:space="preserve"> and Amar Cheema (2011), “Earmarking and Partitioning: Increasing Saving by Low-Income Households,” </w:t>
      </w:r>
      <w:r>
        <w:rPr>
          <w:i/>
          <w:iCs/>
        </w:rPr>
        <w:t>Journal of Marketing Research</w:t>
      </w:r>
      <w:r>
        <w:t>, 48 (Special Issue), S14–S22.</w:t>
      </w:r>
    </w:p>
    <w:p w:rsidR="00750EF6" w:rsidRDefault="002B2CD6">
      <w:pPr>
        <w:pBdr>
          <w:top w:val="nil"/>
          <w:left w:val="nil"/>
          <w:bottom w:val="nil"/>
          <w:right w:val="nil"/>
          <w:between w:val="nil"/>
        </w:pBdr>
        <w:spacing w:after="240"/>
        <w:ind w:left="720" w:right="0" w:hanging="720"/>
      </w:pPr>
      <w:proofErr w:type="spellStart"/>
      <w:r>
        <w:t>Soman</w:t>
      </w:r>
      <w:proofErr w:type="spellEnd"/>
      <w:r>
        <w:t xml:space="preserve">, </w:t>
      </w:r>
      <w:proofErr w:type="spellStart"/>
      <w:r>
        <w:t>Dilip</w:t>
      </w:r>
      <w:proofErr w:type="spellEnd"/>
      <w:r>
        <w:t xml:space="preserve">, and John T. </w:t>
      </w:r>
      <w:proofErr w:type="spellStart"/>
      <w:r>
        <w:t>Gourville</w:t>
      </w:r>
      <w:proofErr w:type="spellEnd"/>
      <w:r>
        <w:t xml:space="preserve"> (2001), “Transaction Decoupling: How Price Bundling Affects the Decision to Consume,” </w:t>
      </w:r>
      <w:r>
        <w:rPr>
          <w:i/>
          <w:iCs/>
        </w:rPr>
        <w:t>Journal of Marketing Research</w:t>
      </w:r>
      <w:r>
        <w:t>, 38(1), 30–44.</w:t>
      </w:r>
    </w:p>
    <w:p w:rsidR="00750EF6" w:rsidRDefault="002B2CD6">
      <w:pPr>
        <w:pBdr>
          <w:top w:val="nil"/>
          <w:left w:val="nil"/>
          <w:bottom w:val="nil"/>
          <w:right w:val="nil"/>
          <w:between w:val="nil"/>
        </w:pBdr>
        <w:spacing w:after="240"/>
        <w:ind w:left="720" w:right="0" w:hanging="720"/>
        <w:rPr>
          <w:color w:val="000000"/>
        </w:rPr>
      </w:pPr>
      <w:proofErr w:type="spellStart"/>
      <w:r>
        <w:rPr>
          <w:color w:val="000000"/>
        </w:rPr>
        <w:t>Soman</w:t>
      </w:r>
      <w:proofErr w:type="spellEnd"/>
      <w:r>
        <w:rPr>
          <w:color w:val="000000"/>
        </w:rPr>
        <w:t xml:space="preserve">, </w:t>
      </w:r>
      <w:proofErr w:type="spellStart"/>
      <w:r>
        <w:rPr>
          <w:color w:val="000000"/>
        </w:rPr>
        <w:t>Dilip</w:t>
      </w:r>
      <w:proofErr w:type="spellEnd"/>
      <w:r>
        <w:rPr>
          <w:color w:val="000000"/>
        </w:rPr>
        <w:t xml:space="preserve"> and Vivian M. W. Lam (2002), “The Effects of Prior Spending on Future Spending Decisions: The Role of Acquisition Liabilities and Payments,” </w:t>
      </w:r>
      <w:r>
        <w:rPr>
          <w:i/>
          <w:iCs/>
          <w:color w:val="000000"/>
        </w:rPr>
        <w:t>Marketing Letters</w:t>
      </w:r>
      <w:r>
        <w:rPr>
          <w:color w:val="000000"/>
        </w:rPr>
        <w:t>, 13(4), 359–72</w:t>
      </w:r>
      <w:r>
        <w:t>.</w:t>
      </w:r>
    </w:p>
    <w:p w:rsidR="00750EF6" w:rsidRDefault="002B2CD6">
      <w:pPr>
        <w:pBdr>
          <w:top w:val="nil"/>
          <w:left w:val="nil"/>
          <w:bottom w:val="nil"/>
          <w:right w:val="nil"/>
          <w:between w:val="nil"/>
        </w:pBdr>
        <w:spacing w:after="240"/>
        <w:ind w:left="720" w:right="0" w:hanging="720"/>
      </w:pPr>
      <w:r>
        <w:t xml:space="preserve">Sussman, Abigail B. and Adam L. Alter (2012), “The Exception Is the Rule: Underestimating and Overspending on Exceptional Expenses,” </w:t>
      </w:r>
      <w:r>
        <w:rPr>
          <w:i/>
          <w:iCs/>
        </w:rPr>
        <w:t>Journal of Consumer Research</w:t>
      </w:r>
      <w:r>
        <w:t>, 39 (4), 800–14.</w:t>
      </w:r>
    </w:p>
    <w:p w:rsidR="00750EF6" w:rsidRDefault="002B2CD6">
      <w:pPr>
        <w:pBdr>
          <w:top w:val="nil"/>
          <w:left w:val="nil"/>
          <w:bottom w:val="nil"/>
          <w:right w:val="nil"/>
          <w:between w:val="nil"/>
        </w:pBdr>
        <w:spacing w:after="240"/>
        <w:ind w:left="720" w:right="0" w:hanging="720"/>
        <w:rPr>
          <w:color w:val="000000"/>
        </w:rPr>
      </w:pPr>
      <w:r>
        <w:t xml:space="preserve">Sussman, Abigail B., </w:t>
      </w:r>
      <w:proofErr w:type="spellStart"/>
      <w:r>
        <w:t>Eesha</w:t>
      </w:r>
      <w:proofErr w:type="spellEnd"/>
      <w:r>
        <w:t xml:space="preserve"> Sharma and Adam L. Alter (2015), “Framing Charitable Donations as Exceptional Expenses Increases Giving,” </w:t>
      </w:r>
      <w:r>
        <w:rPr>
          <w:i/>
          <w:iCs/>
        </w:rPr>
        <w:t>Journal of Experimental Psychology: Applied</w:t>
      </w:r>
      <w:r>
        <w:t>, 21 (2), 130–39.</w:t>
      </w:r>
    </w:p>
    <w:p w:rsidR="00750EF6" w:rsidRDefault="002B2CD6">
      <w:pPr>
        <w:pBdr>
          <w:top w:val="nil"/>
          <w:left w:val="nil"/>
          <w:bottom w:val="nil"/>
          <w:right w:val="nil"/>
          <w:between w:val="nil"/>
        </w:pBdr>
        <w:spacing w:after="240"/>
        <w:ind w:left="720" w:right="0" w:hanging="720"/>
      </w:pPr>
      <w:r>
        <w:t xml:space="preserve">Sussman, Abigail B., </w:t>
      </w:r>
      <w:proofErr w:type="spellStart"/>
      <w:r>
        <w:t>Yanan</w:t>
      </w:r>
      <w:proofErr w:type="spellEnd"/>
      <w:r>
        <w:t xml:space="preserve"> Wang and Anna </w:t>
      </w:r>
      <w:proofErr w:type="spellStart"/>
      <w:r>
        <w:t>Apalkova</w:t>
      </w:r>
      <w:proofErr w:type="spellEnd"/>
      <w:r>
        <w:t xml:space="preserve"> (2022), “Consumer Financial Decision Making.”</w:t>
      </w:r>
    </w:p>
    <w:p w:rsidR="00750EF6" w:rsidRDefault="002B2CD6">
      <w:pPr>
        <w:spacing w:before="240" w:after="240"/>
        <w:ind w:left="720" w:right="0" w:hanging="720"/>
      </w:pPr>
      <w:proofErr w:type="spellStart"/>
      <w:r>
        <w:t>Tarlin</w:t>
      </w:r>
      <w:proofErr w:type="spellEnd"/>
      <w:r>
        <w:t xml:space="preserve">, Steve (2021), </w:t>
      </w:r>
      <w:r>
        <w:rPr>
          <w:i/>
          <w:iCs/>
        </w:rPr>
        <w:t>The Future of Cash</w:t>
      </w:r>
      <w:r>
        <w:t>, Federal Reserve Bank of Philadelphia.</w:t>
      </w:r>
    </w:p>
    <w:p w:rsidR="00750EF6" w:rsidRDefault="002B2CD6">
      <w:pPr>
        <w:pBdr>
          <w:top w:val="nil"/>
          <w:left w:val="nil"/>
          <w:bottom w:val="nil"/>
          <w:right w:val="nil"/>
          <w:between w:val="nil"/>
        </w:pBdr>
        <w:spacing w:after="240"/>
        <w:ind w:left="720" w:right="0" w:hanging="720"/>
        <w:rPr>
          <w:color w:val="000000"/>
        </w:rPr>
      </w:pPr>
      <w:r>
        <w:rPr>
          <w:color w:val="000000"/>
        </w:rPr>
        <w:t xml:space="preserve">Thaler, Richard H. (1985), “Mental Accounting and Consumer Choice,” </w:t>
      </w:r>
      <w:r>
        <w:rPr>
          <w:i/>
          <w:iCs/>
          <w:color w:val="000000"/>
        </w:rPr>
        <w:t>Marketing Science</w:t>
      </w:r>
      <w:r>
        <w:rPr>
          <w:color w:val="000000"/>
        </w:rPr>
        <w:t>, 4(3), 199–214</w:t>
      </w:r>
    </w:p>
    <w:p w:rsidR="00750EF6" w:rsidRDefault="002B2CD6">
      <w:pPr>
        <w:pBdr>
          <w:top w:val="nil"/>
          <w:left w:val="nil"/>
          <w:bottom w:val="nil"/>
          <w:right w:val="nil"/>
          <w:between w:val="nil"/>
        </w:pBdr>
        <w:spacing w:after="240"/>
        <w:ind w:left="720" w:right="0" w:hanging="720"/>
        <w:rPr>
          <w:color w:val="000000"/>
        </w:rPr>
      </w:pPr>
      <w:r>
        <w:rPr>
          <w:color w:val="000000"/>
        </w:rPr>
        <w:lastRenderedPageBreak/>
        <w:t xml:space="preserve">Thaler, Richard H. (1990), “Anomalies: Saving, Fungibility, and Mental Accounts,” </w:t>
      </w:r>
      <w:r>
        <w:rPr>
          <w:i/>
          <w:iCs/>
          <w:color w:val="000000"/>
        </w:rPr>
        <w:t>Journal of Economic Perspectives</w:t>
      </w:r>
      <w:r>
        <w:rPr>
          <w:color w:val="000000"/>
        </w:rPr>
        <w:t>, 4(1), 193–205</w:t>
      </w:r>
    </w:p>
    <w:p w:rsidR="00750EF6" w:rsidRDefault="002B2CD6">
      <w:pPr>
        <w:pBdr>
          <w:top w:val="nil"/>
          <w:left w:val="nil"/>
          <w:bottom w:val="nil"/>
          <w:right w:val="nil"/>
          <w:between w:val="nil"/>
        </w:pBdr>
        <w:spacing w:after="240"/>
        <w:ind w:left="720" w:right="0" w:hanging="720"/>
        <w:rPr>
          <w:color w:val="000000"/>
        </w:rPr>
      </w:pPr>
      <w:r>
        <w:rPr>
          <w:color w:val="000000"/>
        </w:rPr>
        <w:t>Thaler, Richard H.</w:t>
      </w:r>
      <w:r>
        <w:t xml:space="preserve"> </w:t>
      </w:r>
      <w:r>
        <w:rPr>
          <w:color w:val="000000"/>
        </w:rPr>
        <w:t xml:space="preserve">(1999), “Mental Accounting Matters,” </w:t>
      </w:r>
      <w:r>
        <w:rPr>
          <w:i/>
          <w:iCs/>
          <w:color w:val="000000"/>
        </w:rPr>
        <w:t>Journal of Behavioral Decision Making</w:t>
      </w:r>
      <w:r>
        <w:rPr>
          <w:color w:val="000000"/>
        </w:rPr>
        <w:t>, 12(3), 183–206</w:t>
      </w:r>
    </w:p>
    <w:p w:rsidR="00750EF6" w:rsidRDefault="002B2CD6">
      <w:pPr>
        <w:pBdr>
          <w:top w:val="nil"/>
          <w:left w:val="nil"/>
          <w:bottom w:val="nil"/>
          <w:right w:val="nil"/>
          <w:between w:val="nil"/>
        </w:pBdr>
        <w:spacing w:after="240"/>
        <w:ind w:left="720" w:right="0" w:hanging="720"/>
        <w:rPr>
          <w:color w:val="000000"/>
        </w:rPr>
      </w:pPr>
      <w:r>
        <w:t xml:space="preserve">Thaler, Richard H. and Cass R. Sunstein (2021), </w:t>
      </w:r>
      <w:r>
        <w:rPr>
          <w:i/>
          <w:iCs/>
        </w:rPr>
        <w:t>Nudge: The Final Edition</w:t>
      </w:r>
      <w:r>
        <w:t>, Yale University Press.</w:t>
      </w:r>
    </w:p>
    <w:p w:rsidR="00750EF6" w:rsidRDefault="002B2CD6">
      <w:pPr>
        <w:pBdr>
          <w:top w:val="nil"/>
          <w:left w:val="nil"/>
          <w:bottom w:val="nil"/>
          <w:right w:val="nil"/>
          <w:between w:val="nil"/>
        </w:pBdr>
        <w:spacing w:after="240"/>
        <w:ind w:left="720" w:right="0" w:hanging="720"/>
      </w:pPr>
      <w:r>
        <w:t xml:space="preserve">Thomas, Ian A., Neil R. Kay and Kristin Laurin (2023), “The I-Frame and the S-Frame: How Focusing on Individual-Level Solutions Has Led Behavioral Public Policy Astray,” </w:t>
      </w:r>
      <w:r>
        <w:rPr>
          <w:i/>
          <w:iCs/>
        </w:rPr>
        <w:t>Behavioral and Brain Sciences</w:t>
      </w:r>
      <w:r>
        <w:t>, 46, 1–25.</w:t>
      </w:r>
    </w:p>
    <w:p w:rsidR="00750EF6" w:rsidRDefault="002B2CD6">
      <w:pPr>
        <w:pBdr>
          <w:top w:val="nil"/>
          <w:left w:val="nil"/>
          <w:bottom w:val="nil"/>
          <w:right w:val="nil"/>
          <w:between w:val="nil"/>
        </w:pBdr>
        <w:spacing w:after="240"/>
        <w:ind w:left="720" w:right="0" w:hanging="720"/>
        <w:rPr>
          <w:color w:val="000000"/>
        </w:rPr>
      </w:pPr>
      <w:r>
        <w:rPr>
          <w:color w:val="000000"/>
        </w:rPr>
        <w:t xml:space="preserve">Thomas, Manoj, Kalpesh Kaushik Desai, and </w:t>
      </w:r>
      <w:proofErr w:type="spellStart"/>
      <w:r>
        <w:rPr>
          <w:color w:val="000000"/>
        </w:rPr>
        <w:t>Satheeshkumar</w:t>
      </w:r>
      <w:proofErr w:type="spellEnd"/>
      <w:r>
        <w:rPr>
          <w:color w:val="000000"/>
        </w:rPr>
        <w:t xml:space="preserve"> </w:t>
      </w:r>
      <w:proofErr w:type="spellStart"/>
      <w:r>
        <w:rPr>
          <w:color w:val="000000"/>
        </w:rPr>
        <w:t>Seenivasan</w:t>
      </w:r>
      <w:proofErr w:type="spellEnd"/>
      <w:r>
        <w:rPr>
          <w:color w:val="000000"/>
        </w:rPr>
        <w:t xml:space="preserve"> (2011), “How Credit Card Payments Increase Unhealthy Food Purchases: Visceral Regulation of Vices,” </w:t>
      </w:r>
      <w:r>
        <w:rPr>
          <w:i/>
          <w:iCs/>
          <w:color w:val="000000"/>
        </w:rPr>
        <w:t>Journal of Consumer Research</w:t>
      </w:r>
      <w:r>
        <w:rPr>
          <w:color w:val="000000"/>
        </w:rPr>
        <w:t>, 38(1), 126–39</w:t>
      </w:r>
    </w:p>
    <w:p w:rsidR="00750EF6" w:rsidRDefault="002B2CD6">
      <w:pPr>
        <w:pBdr>
          <w:top w:val="nil"/>
          <w:left w:val="nil"/>
          <w:bottom w:val="nil"/>
          <w:right w:val="nil"/>
          <w:between w:val="nil"/>
        </w:pBdr>
        <w:spacing w:after="240"/>
        <w:ind w:left="720" w:right="0" w:hanging="720"/>
      </w:pPr>
      <w:r>
        <w:t xml:space="preserve">Tully, Stephanie M. and </w:t>
      </w:r>
      <w:proofErr w:type="spellStart"/>
      <w:r>
        <w:t>Eesha</w:t>
      </w:r>
      <w:proofErr w:type="spellEnd"/>
      <w:r>
        <w:t xml:space="preserve"> Sharma (2018), “Context-Dependent Drivers of Discretionary Debt Decisions: Explaining Willingness to Borrow for Experiential Purchases,” </w:t>
      </w:r>
      <w:r>
        <w:rPr>
          <w:i/>
          <w:iCs/>
        </w:rPr>
        <w:t>Journal of Consumer Research</w:t>
      </w:r>
      <w:r>
        <w:t>, 44 (5), 960–73.</w:t>
      </w:r>
    </w:p>
    <w:p w:rsidR="00750EF6" w:rsidRDefault="002B2CD6">
      <w:pPr>
        <w:pBdr>
          <w:top w:val="nil"/>
          <w:left w:val="nil"/>
          <w:bottom w:val="nil"/>
          <w:right w:val="nil"/>
          <w:between w:val="nil"/>
        </w:pBdr>
        <w:spacing w:after="240"/>
        <w:ind w:left="720" w:right="0" w:hanging="720"/>
      </w:pPr>
      <w:r>
        <w:rPr>
          <w:color w:val="000000"/>
        </w:rPr>
        <w:t xml:space="preserve">Tversky, A. and D. Kahneman (1981), “The Framing of Decisions and the Psychology of Choice,” </w:t>
      </w:r>
      <w:r>
        <w:rPr>
          <w:i/>
          <w:iCs/>
          <w:color w:val="000000"/>
        </w:rPr>
        <w:t>Science</w:t>
      </w:r>
      <w:r>
        <w:rPr>
          <w:color w:val="000000"/>
        </w:rPr>
        <w:t>, 211(4481), 453–58</w:t>
      </w:r>
    </w:p>
    <w:p w:rsidR="00750EF6" w:rsidRDefault="002B2CD6">
      <w:pPr>
        <w:pBdr>
          <w:top w:val="nil"/>
          <w:left w:val="nil"/>
          <w:bottom w:val="nil"/>
          <w:right w:val="nil"/>
          <w:between w:val="nil"/>
        </w:pBdr>
        <w:spacing w:after="240"/>
        <w:ind w:left="720" w:right="0" w:hanging="720"/>
      </w:pPr>
      <w:r>
        <w:t xml:space="preserve">Tversky, Amos, Paul </w:t>
      </w:r>
      <w:proofErr w:type="spellStart"/>
      <w:r>
        <w:t>Slovic</w:t>
      </w:r>
      <w:proofErr w:type="spellEnd"/>
      <w:r>
        <w:t xml:space="preserve"> and Daniel Kahneman (1990), “The Causes of Preference Reversal,” </w:t>
      </w:r>
      <w:r>
        <w:rPr>
          <w:i/>
          <w:iCs/>
        </w:rPr>
        <w:t>American Economic Review</w:t>
      </w:r>
      <w:r>
        <w:t>, 204–17.</w:t>
      </w:r>
    </w:p>
    <w:p w:rsidR="00750EF6" w:rsidRDefault="002B2CD6">
      <w:pPr>
        <w:spacing w:after="240"/>
        <w:ind w:left="720" w:right="0" w:hanging="720"/>
      </w:pPr>
      <w:r>
        <w:lastRenderedPageBreak/>
        <w:t xml:space="preserve">van </w:t>
      </w:r>
      <w:proofErr w:type="spellStart"/>
      <w:r>
        <w:t>Rooij</w:t>
      </w:r>
      <w:proofErr w:type="spellEnd"/>
      <w:r>
        <w:t xml:space="preserve">, Maarten C.J., Annamaria Lusardi, and Rob J.M. </w:t>
      </w:r>
      <w:proofErr w:type="spellStart"/>
      <w:r>
        <w:t>Alessie</w:t>
      </w:r>
      <w:proofErr w:type="spellEnd"/>
      <w:r>
        <w:t xml:space="preserve"> (2012), “Financial Literacy, Retirement Planning and Household Wealth,” </w:t>
      </w:r>
      <w:r>
        <w:rPr>
          <w:i/>
          <w:iCs/>
        </w:rPr>
        <w:t>The Economic Journal</w:t>
      </w:r>
      <w:r>
        <w:t xml:space="preserve">, 122(560), 449–78, </w:t>
      </w:r>
    </w:p>
    <w:sdt>
      <w:sdtPr>
        <w:tag w:val="goog_rdk_7"/>
        <w:id w:val="-1614885228"/>
      </w:sdtPr>
      <w:sdtEndPr/>
      <w:sdtContent>
        <w:p w:rsidR="00750EF6" w:rsidRPr="00B446E1" w:rsidRDefault="002B2CD6">
          <w:pPr>
            <w:spacing w:after="240"/>
            <w:ind w:left="720" w:right="0" w:hanging="720"/>
            <w:rPr>
              <w:i/>
              <w:iCs/>
            </w:rPr>
          </w:pPr>
          <w:r>
            <w:t xml:space="preserve">Wang, Mei, Marc Oliver Rieger, and Thorsten Hens (2016). How time preferences differ: Evidence from 53 countries. </w:t>
          </w:r>
          <w:r>
            <w:rPr>
              <w:i/>
              <w:iCs/>
            </w:rPr>
            <w:t>Journal of Economic Psychology</w:t>
          </w:r>
          <w:r>
            <w:t xml:space="preserve">, 52, 115-135. </w:t>
          </w:r>
          <w:sdt>
            <w:sdtPr>
              <w:tag w:val="goog_rdk_6"/>
              <w:id w:val="601360343"/>
            </w:sdtPr>
            <w:sdtEndPr/>
            <w:sdtContent/>
          </w:sdt>
        </w:p>
      </w:sdtContent>
    </w:sdt>
    <w:p w:rsidR="00750EF6" w:rsidRDefault="002B2CD6">
      <w:pPr>
        <w:pBdr>
          <w:top w:val="nil"/>
          <w:left w:val="nil"/>
          <w:bottom w:val="nil"/>
          <w:right w:val="nil"/>
          <w:between w:val="nil"/>
        </w:pBdr>
        <w:spacing w:after="240"/>
        <w:ind w:left="720" w:right="0" w:hanging="720"/>
        <w:rPr>
          <w:color w:val="000000"/>
        </w:rPr>
      </w:pPr>
      <w:r>
        <w:rPr>
          <w:color w:val="000000"/>
        </w:rPr>
        <w:t xml:space="preserve">Wood, Stacy (2024), “The Future of Consumer Research Methods: Lessons of a Prospective Retrospective,” </w:t>
      </w:r>
      <w:r>
        <w:rPr>
          <w:i/>
          <w:iCs/>
          <w:color w:val="000000"/>
        </w:rPr>
        <w:t>Journal of Consumer Research</w:t>
      </w:r>
      <w:r>
        <w:rPr>
          <w:color w:val="000000"/>
        </w:rPr>
        <w:t xml:space="preserve">, 51(1), 151–56, </w:t>
      </w:r>
    </w:p>
    <w:p w:rsidR="00750EF6" w:rsidRDefault="002B2CD6">
      <w:pPr>
        <w:pBdr>
          <w:top w:val="nil"/>
          <w:left w:val="nil"/>
          <w:bottom w:val="nil"/>
          <w:right w:val="nil"/>
          <w:between w:val="nil"/>
        </w:pBdr>
        <w:spacing w:after="240"/>
        <w:ind w:left="720" w:right="0" w:hanging="720"/>
      </w:pPr>
      <w:r>
        <w:t xml:space="preserve">World Bank (n.d.), “World Bank Open Data,” </w:t>
      </w:r>
      <w:hyperlink r:id="rId18">
        <w:r>
          <w:t xml:space="preserve"> </w:t>
        </w:r>
      </w:hyperlink>
      <w:hyperlink r:id="rId19">
        <w:r>
          <w:rPr>
            <w:color w:val="1155CC"/>
            <w:u w:val="single"/>
          </w:rPr>
          <w:t>https://data.worldbank.org</w:t>
        </w:r>
      </w:hyperlink>
      <w:r>
        <w:t>.</w:t>
      </w:r>
    </w:p>
    <w:sectPr w:rsidR="00750EF6">
      <w:headerReference w:type="default"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4480" w:rsidRDefault="00334480">
      <w:pPr>
        <w:spacing w:line="240" w:lineRule="auto"/>
      </w:pPr>
      <w:r>
        <w:separator/>
      </w:r>
    </w:p>
  </w:endnote>
  <w:endnote w:type="continuationSeparator" w:id="0">
    <w:p w:rsidR="00334480" w:rsidRDefault="003344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683B104-2ADB-480B-BC01-4F04848E4BB3}"/>
    <w:embedBold r:id="rId2" w:fontKey="{EA031E73-6A03-4D78-A166-A563D5D3F2A4}"/>
  </w:font>
  <w:font w:name="Segoe UI">
    <w:panose1 w:val="020B0502040204020203"/>
    <w:charset w:val="00"/>
    <w:family w:val="swiss"/>
    <w:pitch w:val="variable"/>
    <w:sig w:usb0="E4002EFF" w:usb1="C000E47F" w:usb2="00000009" w:usb3="00000000" w:csb0="000001FF" w:csb1="00000000"/>
    <w:embedRegular r:id="rId3" w:fontKey="{A9452F35-AD5A-438A-B899-D3DF7A582B37}"/>
  </w:font>
  <w:font w:name="Calibri">
    <w:panose1 w:val="020F0502020204030204"/>
    <w:charset w:val="00"/>
    <w:family w:val="swiss"/>
    <w:pitch w:val="variable"/>
    <w:sig w:usb0="E4002EFF" w:usb1="C200247B" w:usb2="00000009" w:usb3="00000000" w:csb0="000001FF" w:csb1="00000000"/>
    <w:embedRegular r:id="rId4" w:fontKey="{245FCDE2-DC0F-4DCD-B717-76B483834CE8}"/>
    <w:embedBold r:id="rId5" w:fontKey="{01B84F42-B649-4C5E-A1D2-A2DDB561D44F}"/>
  </w:font>
  <w:font w:name="Georgia">
    <w:panose1 w:val="02040502050405020303"/>
    <w:charset w:val="00"/>
    <w:family w:val="roman"/>
    <w:pitch w:val="variable"/>
    <w:sig w:usb0="00000287" w:usb1="00000000" w:usb2="00000000" w:usb3="00000000" w:csb0="0000009F" w:csb1="00000000"/>
    <w:embedItalic r:id="rId6" w:fontKey="{4B4F4E43-AD8A-42F8-B686-1556C2BBF03D}"/>
  </w:font>
  <w:font w:name="Roboto">
    <w:charset w:val="00"/>
    <w:family w:val="auto"/>
    <w:pitch w:val="default"/>
    <w:embedItalic r:id="rId7" w:fontKey="{0BEA5E9B-A909-44FD-9591-59C6D00310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EF6" w:rsidRDefault="002B2CD6">
    <w:pPr>
      <w:jc w:val="right"/>
    </w:pPr>
    <w:r>
      <w:fldChar w:fldCharType="begin"/>
    </w:r>
    <w:r>
      <w:instrText>PAGE</w:instrText>
    </w:r>
    <w:r>
      <w:fldChar w:fldCharType="separate"/>
    </w:r>
    <w:r w:rsidR="00B446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4480" w:rsidRDefault="00334480">
      <w:pPr>
        <w:spacing w:line="240" w:lineRule="auto"/>
      </w:pPr>
      <w:r>
        <w:separator/>
      </w:r>
    </w:p>
  </w:footnote>
  <w:footnote w:type="continuationSeparator" w:id="0">
    <w:p w:rsidR="00334480" w:rsidRDefault="003344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EF6" w:rsidRDefault="00750EF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EF6"/>
    <w:rsid w:val="002B2CD6"/>
    <w:rsid w:val="00334480"/>
    <w:rsid w:val="003E398E"/>
    <w:rsid w:val="00707827"/>
    <w:rsid w:val="00750EF6"/>
    <w:rsid w:val="00B446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0FBE0"/>
  <w15:docId w15:val="{97980F69-818A-4DED-90EE-407BD3D93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shd w:val="clear" w:color="auto" w:fill="FFFFFF"/>
        <w:spacing w:line="480" w:lineRule="auto"/>
        <w:ind w:right="374"/>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000000"/>
      </w:pBdr>
      <w:spacing w:before="480"/>
      <w:ind w:left="720" w:hanging="720"/>
      <w:outlineLvl w:val="0"/>
    </w:pPr>
    <w:rPr>
      <w:rFonts w:ascii="Cambria" w:eastAsia="Cambria" w:hAnsi="Cambria" w:cs="Cambria"/>
      <w:b/>
      <w:bCs/>
      <w:sz w:val="32"/>
      <w:szCs w:val="32"/>
    </w:rPr>
  </w:style>
  <w:style w:type="paragraph" w:styleId="Heading2">
    <w:name w:val="heading 2"/>
    <w:basedOn w:val="Normal"/>
    <w:next w:val="Normal"/>
    <w:link w:val="Heading2Char"/>
    <w:uiPriority w:val="9"/>
    <w:semiHidden/>
    <w:unhideWhenUsed/>
    <w:qFormat/>
    <w:pPr>
      <w:keepNext/>
      <w:keepLines/>
      <w:spacing w:before="200"/>
      <w:ind w:left="1440" w:hanging="720"/>
      <w:outlineLvl w:val="1"/>
    </w:pPr>
    <w:rPr>
      <w:rFonts w:ascii="Cambria" w:eastAsia="Cambria" w:hAnsi="Cambria" w:cs="Cambria"/>
      <w:b/>
      <w:bCs/>
      <w:sz w:val="26"/>
      <w:szCs w:val="26"/>
    </w:rPr>
  </w:style>
  <w:style w:type="paragraph" w:styleId="Heading3">
    <w:name w:val="heading 3"/>
    <w:basedOn w:val="Normal"/>
    <w:next w:val="Normal"/>
    <w:link w:val="Heading3Char"/>
    <w:uiPriority w:val="9"/>
    <w:semiHidden/>
    <w:unhideWhenUsed/>
    <w:qFormat/>
    <w:pPr>
      <w:keepNext/>
      <w:keepLines/>
      <w:spacing w:before="200"/>
      <w:ind w:left="2160" w:hanging="720"/>
      <w:outlineLvl w:val="2"/>
    </w:pPr>
    <w:rPr>
      <w:rFonts w:ascii="Cambria" w:eastAsia="Cambria" w:hAnsi="Cambria" w:cs="Cambria"/>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6133D"/>
    <w:rPr>
      <w:sz w:val="16"/>
      <w:szCs w:val="16"/>
    </w:rPr>
  </w:style>
  <w:style w:type="paragraph" w:styleId="CommentText">
    <w:name w:val="annotation text"/>
    <w:basedOn w:val="Normal"/>
    <w:link w:val="CommentTextChar"/>
    <w:uiPriority w:val="99"/>
    <w:unhideWhenUsed/>
    <w:rsid w:val="00E6133D"/>
    <w:rPr>
      <w:sz w:val="20"/>
      <w:szCs w:val="20"/>
    </w:rPr>
  </w:style>
  <w:style w:type="character" w:customStyle="1" w:styleId="CommentTextChar">
    <w:name w:val="Comment Text Char"/>
    <w:basedOn w:val="DefaultParagraphFont"/>
    <w:link w:val="CommentText"/>
    <w:uiPriority w:val="99"/>
    <w:rsid w:val="00E6133D"/>
    <w:rPr>
      <w:rFonts w:ascii="Times New Roman" w:eastAsia="Times New Roman" w:hAnsi="Times New Roman" w:cs="Times New Roman"/>
      <w:sz w:val="20"/>
      <w:szCs w:val="20"/>
    </w:rPr>
  </w:style>
  <w:style w:type="character" w:styleId="Hyperlink">
    <w:name w:val="Hyperlink"/>
    <w:basedOn w:val="DefaultParagraphFont"/>
    <w:uiPriority w:val="99"/>
    <w:unhideWhenUsed/>
    <w:rsid w:val="00E6133D"/>
    <w:rPr>
      <w:color w:val="0000FF" w:themeColor="hyperlink"/>
      <w:u w:val="single"/>
    </w:rPr>
  </w:style>
  <w:style w:type="paragraph" w:styleId="BalloonText">
    <w:name w:val="Balloon Text"/>
    <w:basedOn w:val="Normal"/>
    <w:link w:val="BalloonTextChar"/>
    <w:uiPriority w:val="99"/>
    <w:semiHidden/>
    <w:unhideWhenUsed/>
    <w:rsid w:val="00E613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33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6133D"/>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6133D"/>
    <w:rPr>
      <w:rFonts w:ascii="Times New Roman" w:eastAsia="Times New Roman" w:hAnsi="Times New Roman" w:cs="Times New Roman"/>
      <w:b/>
      <w:bCs/>
      <w:sz w:val="20"/>
      <w:szCs w:val="20"/>
    </w:rPr>
  </w:style>
  <w:style w:type="paragraph" w:customStyle="1" w:styleId="SMcaption">
    <w:name w:val="SM caption"/>
    <w:basedOn w:val="Normal"/>
    <w:qFormat/>
    <w:rsid w:val="00483D1D"/>
    <w:rPr>
      <w:szCs w:val="20"/>
    </w:rPr>
  </w:style>
  <w:style w:type="paragraph" w:styleId="NormalWeb">
    <w:name w:val="Normal (Web)"/>
    <w:basedOn w:val="Normal"/>
    <w:uiPriority w:val="99"/>
    <w:semiHidden/>
    <w:rsid w:val="00483D1D"/>
  </w:style>
  <w:style w:type="character" w:styleId="UnresolvedMention">
    <w:name w:val="Unresolved Mention"/>
    <w:basedOn w:val="DefaultParagraphFont"/>
    <w:uiPriority w:val="99"/>
    <w:semiHidden/>
    <w:unhideWhenUsed/>
    <w:rsid w:val="00CD6270"/>
    <w:rPr>
      <w:color w:val="605E5C"/>
      <w:shd w:val="clear" w:color="auto" w:fill="E1DFDD"/>
    </w:rPr>
  </w:style>
  <w:style w:type="paragraph" w:styleId="Bibliography">
    <w:name w:val="Bibliography"/>
    <w:basedOn w:val="Normal"/>
    <w:next w:val="Normal"/>
    <w:uiPriority w:val="37"/>
    <w:unhideWhenUsed/>
    <w:rsid w:val="002E1929"/>
    <w:pPr>
      <w:spacing w:after="240"/>
      <w:ind w:left="720" w:hanging="720"/>
    </w:pPr>
  </w:style>
  <w:style w:type="paragraph" w:styleId="Revision">
    <w:name w:val="Revision"/>
    <w:hidden/>
    <w:uiPriority w:val="99"/>
    <w:semiHidden/>
    <w:rsid w:val="000A3FE2"/>
  </w:style>
  <w:style w:type="paragraph" w:styleId="NoSpacing">
    <w:name w:val="No Spacing"/>
    <w:uiPriority w:val="1"/>
    <w:qFormat/>
    <w:rsid w:val="005D4DB5"/>
  </w:style>
  <w:style w:type="paragraph" w:customStyle="1" w:styleId="TableCaption">
    <w:name w:val="Table Caption"/>
    <w:basedOn w:val="Normal"/>
    <w:qFormat/>
    <w:rsid w:val="00984161"/>
    <w:pPr>
      <w:jc w:val="center"/>
    </w:pPr>
    <w:rPr>
      <w:rFonts w:eastAsiaTheme="minorEastAsia"/>
      <w:b/>
      <w:i/>
    </w:rPr>
  </w:style>
  <w:style w:type="paragraph" w:styleId="FootnoteText">
    <w:name w:val="footnote text"/>
    <w:basedOn w:val="Normal"/>
    <w:link w:val="FootnoteTextChar"/>
    <w:uiPriority w:val="99"/>
    <w:semiHidden/>
    <w:unhideWhenUsed/>
    <w:rsid w:val="00996582"/>
    <w:rPr>
      <w:sz w:val="20"/>
      <w:szCs w:val="20"/>
    </w:rPr>
  </w:style>
  <w:style w:type="character" w:customStyle="1" w:styleId="FootnoteTextChar">
    <w:name w:val="Footnote Text Char"/>
    <w:basedOn w:val="DefaultParagraphFont"/>
    <w:link w:val="FootnoteText"/>
    <w:uiPriority w:val="99"/>
    <w:semiHidden/>
    <w:rsid w:val="00996582"/>
    <w:rPr>
      <w:sz w:val="20"/>
      <w:szCs w:val="20"/>
    </w:rPr>
  </w:style>
  <w:style w:type="character" w:styleId="FootnoteReference">
    <w:name w:val="footnote reference"/>
    <w:basedOn w:val="DefaultParagraphFont"/>
    <w:uiPriority w:val="99"/>
    <w:semiHidden/>
    <w:unhideWhenUsed/>
    <w:rsid w:val="00996582"/>
    <w:rPr>
      <w:vertAlign w:val="superscript"/>
    </w:rPr>
  </w:style>
  <w:style w:type="character" w:styleId="FollowedHyperlink">
    <w:name w:val="FollowedHyperlink"/>
    <w:basedOn w:val="DefaultParagraphFont"/>
    <w:uiPriority w:val="99"/>
    <w:semiHidden/>
    <w:unhideWhenUsed/>
    <w:rsid w:val="00453154"/>
    <w:rPr>
      <w:color w:val="800080" w:themeColor="followedHyperlink"/>
      <w:u w:val="single"/>
    </w:rPr>
  </w:style>
  <w:style w:type="character" w:customStyle="1" w:styleId="Heading1Char">
    <w:name w:val="Heading 1 Char"/>
    <w:basedOn w:val="DefaultParagraphFont"/>
    <w:link w:val="Heading1"/>
    <w:uiPriority w:val="9"/>
    <w:rsid w:val="009E720F"/>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9E720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E720F"/>
    <w:rPr>
      <w:rFonts w:asciiTheme="majorHAnsi" w:eastAsiaTheme="majorEastAsia" w:hAnsiTheme="majorHAnsi" w:cstheme="majorBidi"/>
      <w:b/>
      <w:bCs/>
      <w:sz w:val="24"/>
      <w:szCs w:val="24"/>
    </w:rPr>
  </w:style>
  <w:style w:type="character" w:customStyle="1" w:styleId="vlist-s">
    <w:name w:val="vlist-s"/>
    <w:basedOn w:val="DefaultParagraphFont"/>
    <w:rsid w:val="009E720F"/>
  </w:style>
  <w:style w:type="character" w:customStyle="1" w:styleId="qowt-font2-timesnewroman">
    <w:name w:val="qowt-font2-timesnewroman"/>
    <w:basedOn w:val="DefaultParagraphFont"/>
    <w:rsid w:val="000A6B50"/>
  </w:style>
  <w:style w:type="paragraph" w:styleId="Header">
    <w:name w:val="header"/>
    <w:basedOn w:val="Normal"/>
    <w:link w:val="HeaderChar"/>
    <w:uiPriority w:val="99"/>
    <w:unhideWhenUsed/>
    <w:rsid w:val="009E7880"/>
    <w:pPr>
      <w:tabs>
        <w:tab w:val="center" w:pos="4819"/>
        <w:tab w:val="right" w:pos="9638"/>
      </w:tabs>
    </w:pPr>
  </w:style>
  <w:style w:type="character" w:customStyle="1" w:styleId="HeaderChar">
    <w:name w:val="Header Char"/>
    <w:basedOn w:val="DefaultParagraphFont"/>
    <w:link w:val="Header"/>
    <w:uiPriority w:val="99"/>
    <w:rsid w:val="009E7880"/>
  </w:style>
  <w:style w:type="paragraph" w:styleId="Footer">
    <w:name w:val="footer"/>
    <w:basedOn w:val="Normal"/>
    <w:link w:val="FooterChar"/>
    <w:uiPriority w:val="99"/>
    <w:unhideWhenUsed/>
    <w:rsid w:val="009E7880"/>
    <w:pPr>
      <w:tabs>
        <w:tab w:val="center" w:pos="4819"/>
        <w:tab w:val="right" w:pos="9638"/>
      </w:tabs>
    </w:pPr>
  </w:style>
  <w:style w:type="character" w:customStyle="1" w:styleId="FooterChar">
    <w:name w:val="Footer Char"/>
    <w:basedOn w:val="DefaultParagraphFont"/>
    <w:link w:val="Footer"/>
    <w:uiPriority w:val="99"/>
    <w:rsid w:val="009E7880"/>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70" w:type="dxa"/>
        <w:right w:w="7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sf.io/kgesy/?view_only=55dce1f15b1c465496fc796b5835e55a" TargetMode="External"/><Relationship Id="rId13" Type="http://schemas.openxmlformats.org/officeDocument/2006/relationships/hyperlink" Target="https://files.consumerfinance.gov/f/201309_cfpb_card-act-report.pdf" TargetMode="External"/><Relationship Id="rId18" Type="http://schemas.openxmlformats.org/officeDocument/2006/relationships/hyperlink" Target="https://data.worldbank.or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osf.io/kgesy/?view_only=55dce1f15b1c465496fc796b5835e55a" TargetMode="External"/><Relationship Id="rId12" Type="http://schemas.openxmlformats.org/officeDocument/2006/relationships/image" Target="media/image3.png"/><Relationship Id="rId17" Type="http://schemas.openxmlformats.org/officeDocument/2006/relationships/hyperlink" Target="https://www.theguardian.com/world/2017/oct/11/richard-thaler-nobel-prize-winner-behavioural-economics" TargetMode="External"/><Relationship Id="rId2" Type="http://schemas.openxmlformats.org/officeDocument/2006/relationships/styles" Target="styles.xml"/><Relationship Id="rId16" Type="http://schemas.openxmlformats.org/officeDocument/2006/relationships/hyperlink" Target="https://policycommons.net/artifacts/11334740/democracy-index-2023-final-report/12223667/"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policycommons.net/artifacts/11334740/democracy-index-2023-final-report/12223667/"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data.worldbank.org" TargetMode="External"/><Relationship Id="rId4" Type="http://schemas.openxmlformats.org/officeDocument/2006/relationships/webSettings" Target="webSettings.xml"/><Relationship Id="rId9" Type="http://schemas.openxmlformats.org/officeDocument/2006/relationships/hyperlink" Target="https://data.worldbank.org/" TargetMode="External"/><Relationship Id="rId14" Type="http://schemas.openxmlformats.org/officeDocument/2006/relationships/hyperlink" Target="https://files.consumerfinance.gov/f/201309_cfpb_card-act-report.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iDnmi1k/QXM9bl51e3Z5eiwPLw==">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69</Pages>
  <Words>17133</Words>
  <Characters>97660</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Shuler, Megan</dc:creator>
  <cp:lastModifiedBy>Hardisty, David</cp:lastModifiedBy>
  <cp:revision>4</cp:revision>
  <dcterms:created xsi:type="dcterms:W3CDTF">2025-02-01T05:24:00Z</dcterms:created>
  <dcterms:modified xsi:type="dcterms:W3CDTF">2026-07-03T18:46:00Z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id="YFQo8Qrp"/&gt;&lt;style id="http://www.zotero.org/styles/journal-of-consumer-research"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y fmtid="{D5CDD505-2E9C-101B-9397-08002B2CF9AE}" pid="4" name="GrammarlyDocumentId">
    <vt:lpwstr>6d7477fc0e81f73edbc280de2828a3d6465ddd73100109b49f241e837382a1c5</vt:lpwstr>
  </property>
</Properties>
</file>